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1813" w14:textId="77777777" w:rsidR="00B319E8" w:rsidRPr="00B319E8" w:rsidRDefault="00B319E8" w:rsidP="00B319E8">
      <w:pPr>
        <w:pStyle w:val="NoSpacing"/>
        <w:rPr>
          <w:b/>
          <w:bCs/>
        </w:rPr>
      </w:pPr>
      <w:r w:rsidRPr="00B319E8">
        <w:rPr>
          <w:b/>
          <w:bCs/>
        </w:rPr>
        <w:t>Applicant:</w:t>
      </w:r>
      <w:r w:rsidRPr="00B319E8">
        <w:rPr>
          <w:b/>
          <w:bCs/>
        </w:rPr>
        <w:tab/>
      </w:r>
      <w:proofErr w:type="spellStart"/>
      <w:r w:rsidRPr="00B319E8">
        <w:rPr>
          <w:b/>
          <w:bCs/>
        </w:rPr>
        <w:t>PJRopes</w:t>
      </w:r>
      <w:proofErr w:type="spellEnd"/>
      <w:r w:rsidRPr="00B319E8">
        <w:rPr>
          <w:b/>
          <w:bCs/>
        </w:rPr>
        <w:t xml:space="preserve"> Holdings LLC (</w:t>
      </w:r>
      <w:hyperlink r:id="rId7" w:history="1">
        <w:r w:rsidRPr="00B319E8">
          <w:rPr>
            <w:rStyle w:val="Hyperlink"/>
            <w:b/>
            <w:bCs/>
          </w:rPr>
          <w:t>info@mplsdistro.com</w:t>
        </w:r>
      </w:hyperlink>
      <w:r w:rsidRPr="00B319E8">
        <w:rPr>
          <w:b/>
          <w:bCs/>
        </w:rPr>
        <w:t>)  EMERGING DEVELOPER</w:t>
      </w:r>
    </w:p>
    <w:p w14:paraId="014E5025" w14:textId="77777777" w:rsidR="00B319E8" w:rsidRPr="00B319E8" w:rsidRDefault="00B319E8" w:rsidP="00B319E8">
      <w:pPr>
        <w:pStyle w:val="NoSpacing"/>
        <w:rPr>
          <w:b/>
          <w:bCs/>
        </w:rPr>
      </w:pPr>
      <w:r w:rsidRPr="00B319E8">
        <w:rPr>
          <w:b/>
          <w:bCs/>
        </w:rPr>
        <w:t>Project:</w:t>
      </w:r>
      <w:r w:rsidRPr="00B319E8">
        <w:rPr>
          <w:b/>
          <w:bCs/>
        </w:rPr>
        <w:tab/>
      </w:r>
      <w:proofErr w:type="spellStart"/>
      <w:r w:rsidRPr="00B319E8">
        <w:rPr>
          <w:b/>
          <w:bCs/>
        </w:rPr>
        <w:t>Camdentown</w:t>
      </w:r>
      <w:proofErr w:type="spellEnd"/>
      <w:r w:rsidRPr="00B319E8">
        <w:rPr>
          <w:b/>
          <w:bCs/>
        </w:rPr>
        <w:t xml:space="preserve"> Extension, 4400 Oliver Avenue North, Minneapolis</w:t>
      </w:r>
    </w:p>
    <w:p w14:paraId="34655A9B" w14:textId="77777777" w:rsidR="00B319E8" w:rsidRPr="00B319E8" w:rsidRDefault="00B319E8" w:rsidP="00B319E8">
      <w:pPr>
        <w:pStyle w:val="NoSpacing"/>
        <w:rPr>
          <w:b/>
          <w:bCs/>
        </w:rPr>
      </w:pPr>
      <w:r w:rsidRPr="00B319E8">
        <w:rPr>
          <w:b/>
          <w:bCs/>
        </w:rPr>
        <w:t>Parcel ID #s:</w:t>
      </w:r>
      <w:r w:rsidRPr="00B319E8">
        <w:rPr>
          <w:b/>
          <w:bCs/>
        </w:rPr>
        <w:tab/>
        <w:t>14-118-21-12-0071 (.25 acre)</w:t>
      </w:r>
    </w:p>
    <w:p w14:paraId="2F51CADF" w14:textId="77777777" w:rsidR="00B319E8" w:rsidRPr="00B319E8" w:rsidRDefault="00B319E8" w:rsidP="00B319E8">
      <w:pPr>
        <w:pStyle w:val="NoSpacing"/>
        <w:rPr>
          <w:b/>
          <w:bCs/>
        </w:rPr>
      </w:pPr>
      <w:r w:rsidRPr="00B319E8">
        <w:rPr>
          <w:b/>
          <w:bCs/>
        </w:rPr>
        <w:t>Consultant:</w:t>
      </w:r>
      <w:r w:rsidRPr="00B319E8">
        <w:rPr>
          <w:b/>
          <w:bCs/>
        </w:rPr>
        <w:tab/>
        <w:t>Braun Intertec (dschilling@braunintertec.com)</w:t>
      </w:r>
    </w:p>
    <w:p w14:paraId="6FE094D4" w14:textId="77777777" w:rsidR="00B319E8" w:rsidRPr="00B319E8" w:rsidRDefault="00B319E8" w:rsidP="00B319E8">
      <w:pPr>
        <w:pStyle w:val="NoSpacing"/>
        <w:rPr>
          <w:b/>
          <w:bCs/>
        </w:rPr>
      </w:pPr>
      <w:r w:rsidRPr="00B319E8">
        <w:rPr>
          <w:b/>
          <w:bCs/>
        </w:rPr>
        <w:t>Request:</w:t>
      </w:r>
      <w:r w:rsidRPr="00B319E8">
        <w:rPr>
          <w:b/>
          <w:bCs/>
        </w:rPr>
        <w:tab/>
        <w:t>$24,464</w:t>
      </w:r>
    </w:p>
    <w:p w14:paraId="15BA79F9" w14:textId="77777777" w:rsidR="00B319E8" w:rsidRPr="00B319E8" w:rsidRDefault="00B319E8" w:rsidP="00B319E8">
      <w:pPr>
        <w:pStyle w:val="NoSpacing"/>
      </w:pPr>
      <w:r w:rsidRPr="00B319E8">
        <w:rPr>
          <w:b/>
          <w:bCs/>
        </w:rPr>
        <w:t>Grant Round:</w:t>
      </w:r>
      <w:r w:rsidRPr="00B319E8">
        <w:rPr>
          <w:b/>
          <w:bCs/>
        </w:rPr>
        <w:tab/>
        <w:t>FY 25 PR000007633</w:t>
      </w:r>
    </w:p>
    <w:p w14:paraId="2DE6055F" w14:textId="77777777" w:rsidR="00B319E8" w:rsidRPr="00B319E8" w:rsidRDefault="00B319E8" w:rsidP="00B319E8"/>
    <w:p w14:paraId="6C68E507" w14:textId="2F84C2D4" w:rsidR="00B319E8" w:rsidRPr="00B319E8" w:rsidRDefault="00B319E8" w:rsidP="00B319E8">
      <w:r>
        <w:t>T</w:t>
      </w:r>
      <w:r w:rsidRPr="00B319E8">
        <w:t>his request</w:t>
      </w:r>
      <w:r>
        <w:t xml:space="preserve"> is</w:t>
      </w:r>
      <w:r w:rsidRPr="00B319E8">
        <w:t xml:space="preserve"> from </w:t>
      </w:r>
      <w:proofErr w:type="spellStart"/>
      <w:r w:rsidRPr="00B319E8">
        <w:t>PJRopes</w:t>
      </w:r>
      <w:proofErr w:type="spellEnd"/>
      <w:r w:rsidRPr="00B319E8">
        <w:t xml:space="preserve"> Holdings </w:t>
      </w:r>
      <w:proofErr w:type="gramStart"/>
      <w:r w:rsidRPr="00B319E8">
        <w:t>LLC  (</w:t>
      </w:r>
      <w:proofErr w:type="gramEnd"/>
      <w:r w:rsidRPr="00B319E8">
        <w:t>“Developer</w:t>
      </w:r>
      <w:proofErr w:type="gramStart"/>
      <w:r w:rsidRPr="00B319E8">
        <w:t>”)--</w:t>
      </w:r>
      <w:proofErr w:type="gramEnd"/>
      <w:r w:rsidRPr="00B319E8">
        <w:t xml:space="preserve">an Emerging Developer.  Ms. </w:t>
      </w:r>
      <w:proofErr w:type="spellStart"/>
      <w:r w:rsidRPr="00B319E8">
        <w:t>Pashell</w:t>
      </w:r>
      <w:proofErr w:type="spellEnd"/>
      <w:r w:rsidRPr="00B319E8">
        <w:t xml:space="preserve"> Johnson founded the company as a property management company focused on affordable housing.  She is the company’s Owner; her son, Zachary Johnson, is an Associate and the contact for this application.  The Johnsons are a third generation North Minneapolis family with experience owning and managing two residential properties (one single-family home and a duplex), both of which are rented to 50% AMI tenants through public programs.  Additionally, they did significant renovations to a commercial property at 3801 Nicollet Avenue South.  The Developer has established relationships with the Weber-Camden Neighborhood Association, CPED, and Met Council; further, has been participating </w:t>
      </w:r>
      <w:proofErr w:type="gramStart"/>
      <w:r w:rsidRPr="00B319E8">
        <w:t>in  Northside</w:t>
      </w:r>
      <w:proofErr w:type="gramEnd"/>
      <w:r w:rsidRPr="00B319E8">
        <w:t xml:space="preserve"> Forward—a 10-year, community-authored revitalization plan that was released in June 2025 to guide $1.5 billion in investment.  </w:t>
      </w:r>
    </w:p>
    <w:p w14:paraId="6A9ED200" w14:textId="77777777" w:rsidR="00B319E8" w:rsidRPr="00B319E8" w:rsidRDefault="00B319E8" w:rsidP="00B319E8">
      <w:r w:rsidRPr="00B319E8">
        <w:t xml:space="preserve">The Developer has purchased a </w:t>
      </w:r>
      <w:proofErr w:type="gramStart"/>
      <w:r w:rsidRPr="00B319E8">
        <w:t>.25 acre</w:t>
      </w:r>
      <w:proofErr w:type="gramEnd"/>
      <w:r w:rsidRPr="00B319E8">
        <w:t xml:space="preserve"> commercial property located at 4400 Oliver Avenue North (“Site”) within a Corridor Mixed Use zoning district.  The Site currently has a small office structure that will be demolished, likely after hazardous material abatement given its was constructed in 1952.  The proposed redevelopment project will be done in two phases:  </w:t>
      </w:r>
    </w:p>
    <w:p w14:paraId="69EB39F1" w14:textId="77777777" w:rsidR="00B319E8" w:rsidRPr="00B319E8" w:rsidRDefault="00B319E8" w:rsidP="00B319E8">
      <w:pPr>
        <w:numPr>
          <w:ilvl w:val="0"/>
          <w:numId w:val="1"/>
        </w:numPr>
      </w:pPr>
      <w:r w:rsidRPr="00B319E8">
        <w:t xml:space="preserve">A commercial building with three commercial spaces ranging in size from 1,500 – 1,800 SF.  The Developer has an LOI with Kingdom Kids, an established childcare company in NE Minneapolis, for one of the spaces. </w:t>
      </w:r>
    </w:p>
    <w:p w14:paraId="001ABAA1" w14:textId="77777777" w:rsidR="00B319E8" w:rsidRPr="00B319E8" w:rsidRDefault="00B319E8" w:rsidP="00B319E8">
      <w:pPr>
        <w:numPr>
          <w:ilvl w:val="0"/>
          <w:numId w:val="1"/>
        </w:numPr>
      </w:pPr>
      <w:r w:rsidRPr="00B319E8">
        <w:t xml:space="preserve">The second phase is the construction of an adjoining multi-family housing building that will contain 18 affordable residential units ranging from 50-80% AMI, plus six units at market rate, for a total of 24 units.  </w:t>
      </w:r>
    </w:p>
    <w:p w14:paraId="06EA529F" w14:textId="2A1C7D6E" w:rsidR="00B319E8" w:rsidRDefault="00B319E8" w:rsidP="00B319E8">
      <w:r w:rsidRPr="00B319E8">
        <w:t xml:space="preserve">The Developer is requesting BGFP funding to complete a Phase I ESA, Phase II ESA, and a Pre-Demolition Regulated Building Materials Survey.  Braun Intertec has provided a proposal, dated April 29, 2025, in the amount of $24,464 to perform this work.  </w:t>
      </w:r>
    </w:p>
    <w:p w14:paraId="31199960" w14:textId="77777777" w:rsidR="003632BD" w:rsidRDefault="003632BD" w:rsidP="00B319E8"/>
    <w:p w14:paraId="5EA8F5C7" w14:textId="77777777" w:rsidR="003632BD" w:rsidRPr="003632BD" w:rsidRDefault="003632BD" w:rsidP="003632BD">
      <w:pPr>
        <w:spacing w:after="0" w:line="240" w:lineRule="auto"/>
        <w:rPr>
          <w:rFonts w:eastAsia="Times New Roman" w:cstheme="minorHAnsi"/>
          <w:b/>
          <w:bCs/>
        </w:rPr>
      </w:pPr>
      <w:r w:rsidRPr="003632BD">
        <w:rPr>
          <w:rFonts w:eastAsia="Times New Roman" w:cstheme="minorHAnsi"/>
          <w:b/>
          <w:bCs/>
        </w:rPr>
        <w:lastRenderedPageBreak/>
        <w:t>Applicant:</w:t>
      </w:r>
      <w:r w:rsidRPr="003632BD">
        <w:rPr>
          <w:rFonts w:eastAsia="Times New Roman" w:cstheme="minorHAnsi"/>
          <w:b/>
          <w:bCs/>
        </w:rPr>
        <w:tab/>
        <w:t>Center for Communication &amp; Development (dba KMOJ-FM)</w:t>
      </w:r>
    </w:p>
    <w:p w14:paraId="12E9B8C0" w14:textId="77777777" w:rsidR="003632BD" w:rsidRPr="003632BD" w:rsidRDefault="003632BD" w:rsidP="003632BD">
      <w:pPr>
        <w:spacing w:after="0" w:line="240" w:lineRule="auto"/>
        <w:rPr>
          <w:rFonts w:eastAsia="Times New Roman" w:cstheme="minorHAnsi"/>
          <w:b/>
          <w:bCs/>
        </w:rPr>
      </w:pPr>
      <w:r w:rsidRPr="003632BD">
        <w:rPr>
          <w:rFonts w:eastAsia="Times New Roman" w:cstheme="minorHAnsi"/>
          <w:b/>
          <w:bCs/>
        </w:rPr>
        <w:tab/>
      </w:r>
      <w:r w:rsidRPr="003632BD">
        <w:rPr>
          <w:rFonts w:eastAsia="Times New Roman" w:cstheme="minorHAnsi"/>
          <w:b/>
          <w:bCs/>
        </w:rPr>
        <w:tab/>
        <w:t>(</w:t>
      </w:r>
      <w:hyperlink r:id="rId8" w:history="1">
        <w:r w:rsidRPr="003632BD">
          <w:rPr>
            <w:rStyle w:val="Hyperlink"/>
            <w:rFonts w:eastAsia="Times New Roman" w:cstheme="minorHAnsi"/>
            <w:b/>
            <w:bCs/>
          </w:rPr>
          <w:t>freddiebell@kmojfm.com</w:t>
        </w:r>
      </w:hyperlink>
      <w:r w:rsidRPr="003632BD">
        <w:rPr>
          <w:rFonts w:eastAsia="Times New Roman" w:cstheme="minorHAnsi"/>
          <w:b/>
          <w:bCs/>
        </w:rPr>
        <w:t xml:space="preserve">; </w:t>
      </w:r>
      <w:hyperlink r:id="rId9" w:history="1">
        <w:r w:rsidRPr="003632BD">
          <w:rPr>
            <w:rStyle w:val="Hyperlink"/>
            <w:rFonts w:eastAsia="Times New Roman" w:cstheme="minorHAnsi"/>
            <w:b/>
            <w:bCs/>
          </w:rPr>
          <w:t>kristen@elementmn.com</w:t>
        </w:r>
      </w:hyperlink>
      <w:r w:rsidRPr="003632BD">
        <w:rPr>
          <w:rFonts w:eastAsia="Times New Roman" w:cstheme="minorHAnsi"/>
          <w:b/>
          <w:bCs/>
        </w:rPr>
        <w:t>)</w:t>
      </w:r>
    </w:p>
    <w:p w14:paraId="2B614EFB" w14:textId="77777777" w:rsidR="003632BD" w:rsidRPr="003632BD" w:rsidRDefault="003632BD" w:rsidP="003632BD">
      <w:pPr>
        <w:spacing w:after="0" w:line="240" w:lineRule="auto"/>
        <w:rPr>
          <w:rFonts w:eastAsia="Times New Roman" w:cstheme="minorHAnsi"/>
          <w:b/>
          <w:bCs/>
        </w:rPr>
      </w:pPr>
      <w:r w:rsidRPr="003632BD">
        <w:rPr>
          <w:rFonts w:eastAsia="Times New Roman" w:cstheme="minorHAnsi"/>
          <w:b/>
          <w:bCs/>
        </w:rPr>
        <w:t>Project:</w:t>
      </w:r>
      <w:r w:rsidRPr="003632BD">
        <w:rPr>
          <w:rFonts w:eastAsia="Times New Roman" w:cstheme="minorHAnsi"/>
          <w:b/>
          <w:bCs/>
        </w:rPr>
        <w:tab/>
        <w:t>KMOJ Station, 2125 Lowry Avenue No., Mpls</w:t>
      </w:r>
    </w:p>
    <w:p w14:paraId="4F1FB39F" w14:textId="77777777" w:rsidR="003632BD" w:rsidRPr="003632BD" w:rsidRDefault="003632BD" w:rsidP="003632BD">
      <w:pPr>
        <w:spacing w:after="0" w:line="240" w:lineRule="auto"/>
        <w:ind w:left="1440" w:hanging="1440"/>
        <w:rPr>
          <w:rFonts w:eastAsia="Times New Roman" w:cstheme="minorHAnsi"/>
          <w:b/>
          <w:bCs/>
        </w:rPr>
      </w:pPr>
      <w:r w:rsidRPr="003632BD">
        <w:rPr>
          <w:rFonts w:eastAsia="Times New Roman" w:cstheme="minorHAnsi"/>
          <w:b/>
          <w:bCs/>
        </w:rPr>
        <w:t>Parcel ID #s:</w:t>
      </w:r>
      <w:r w:rsidRPr="003632BD">
        <w:rPr>
          <w:rFonts w:eastAsia="Times New Roman" w:cstheme="minorHAnsi"/>
          <w:b/>
          <w:bCs/>
        </w:rPr>
        <w:tab/>
        <w:t>09-029-24-32-0225 (.27 acre)</w:t>
      </w:r>
    </w:p>
    <w:p w14:paraId="0E3ABCB2" w14:textId="77777777" w:rsidR="003632BD" w:rsidRPr="003632BD" w:rsidRDefault="003632BD" w:rsidP="003632BD">
      <w:pPr>
        <w:spacing w:after="0" w:line="240" w:lineRule="auto"/>
        <w:rPr>
          <w:rFonts w:eastAsia="Times New Roman" w:cstheme="minorHAnsi"/>
          <w:b/>
          <w:bCs/>
        </w:rPr>
      </w:pPr>
      <w:r w:rsidRPr="003632BD">
        <w:rPr>
          <w:rFonts w:eastAsia="Times New Roman" w:cstheme="minorHAnsi"/>
          <w:b/>
          <w:bCs/>
        </w:rPr>
        <w:t>Consultant:</w:t>
      </w:r>
      <w:r w:rsidRPr="003632BD">
        <w:rPr>
          <w:rFonts w:eastAsia="Times New Roman" w:cstheme="minorHAnsi"/>
          <w:b/>
          <w:bCs/>
        </w:rPr>
        <w:tab/>
        <w:t>Landmark Environmental (</w:t>
      </w:r>
      <w:hyperlink r:id="rId10" w:history="1">
        <w:r w:rsidRPr="003632BD">
          <w:rPr>
            <w:rStyle w:val="Hyperlink"/>
            <w:rFonts w:eastAsia="Times New Roman" w:cstheme="minorHAnsi"/>
            <w:b/>
            <w:bCs/>
          </w:rPr>
          <w:t>celling@landmarkenv.com</w:t>
        </w:r>
      </w:hyperlink>
      <w:r w:rsidRPr="003632BD">
        <w:rPr>
          <w:rFonts w:eastAsia="Times New Roman" w:cstheme="minorHAnsi"/>
          <w:b/>
          <w:bCs/>
        </w:rPr>
        <w:t>)</w:t>
      </w:r>
    </w:p>
    <w:p w14:paraId="7E65BBA5" w14:textId="77777777" w:rsidR="003632BD" w:rsidRPr="003632BD" w:rsidRDefault="003632BD" w:rsidP="003632BD">
      <w:pPr>
        <w:spacing w:after="0" w:line="240" w:lineRule="auto"/>
        <w:rPr>
          <w:rFonts w:eastAsia="Times New Roman" w:cstheme="minorHAnsi"/>
          <w:b/>
          <w:bCs/>
        </w:rPr>
      </w:pPr>
      <w:r w:rsidRPr="003632BD">
        <w:rPr>
          <w:rFonts w:eastAsia="Times New Roman" w:cstheme="minorHAnsi"/>
          <w:b/>
          <w:bCs/>
        </w:rPr>
        <w:t>Request:</w:t>
      </w:r>
      <w:r w:rsidRPr="003632BD">
        <w:rPr>
          <w:rFonts w:eastAsia="Times New Roman" w:cstheme="minorHAnsi"/>
          <w:b/>
          <w:bCs/>
        </w:rPr>
        <w:tab/>
        <w:t>$11,125</w:t>
      </w:r>
    </w:p>
    <w:p w14:paraId="1FDCB7FB" w14:textId="77777777" w:rsidR="003632BD" w:rsidRPr="003632BD" w:rsidRDefault="003632BD" w:rsidP="003632BD">
      <w:pPr>
        <w:spacing w:after="0" w:line="240" w:lineRule="auto"/>
        <w:rPr>
          <w:rFonts w:eastAsia="Times New Roman" w:cstheme="minorHAnsi"/>
          <w:b/>
          <w:bCs/>
        </w:rPr>
      </w:pPr>
      <w:r w:rsidRPr="003632BD">
        <w:rPr>
          <w:rFonts w:eastAsia="Times New Roman" w:cstheme="minorHAnsi"/>
          <w:b/>
          <w:bCs/>
        </w:rPr>
        <w:t>Grant Round:</w:t>
      </w:r>
      <w:r w:rsidRPr="003632BD">
        <w:rPr>
          <w:rFonts w:eastAsia="Times New Roman" w:cstheme="minorHAnsi"/>
          <w:b/>
          <w:bCs/>
        </w:rPr>
        <w:tab/>
        <w:t>FY 25 PR000007633</w:t>
      </w:r>
    </w:p>
    <w:p w14:paraId="718AE894" w14:textId="77777777" w:rsidR="003632BD" w:rsidRPr="00534290" w:rsidRDefault="003632BD" w:rsidP="003632BD">
      <w:pPr>
        <w:spacing w:after="0" w:line="240" w:lineRule="auto"/>
        <w:rPr>
          <w:rFonts w:eastAsia="Times New Roman" w:cstheme="minorHAnsi"/>
        </w:rPr>
      </w:pPr>
    </w:p>
    <w:p w14:paraId="79097225" w14:textId="77874F20" w:rsidR="003632BD" w:rsidRPr="008F1533" w:rsidRDefault="003632BD" w:rsidP="003632BD">
      <w:pPr>
        <w:pStyle w:val="Heading2"/>
        <w:shd w:val="clear" w:color="auto" w:fill="FCFCFC"/>
        <w:spacing w:before="0" w:line="324" w:lineRule="atLeast"/>
        <w:rPr>
          <w:rFonts w:asciiTheme="minorHAnsi" w:hAnsiTheme="minorHAnsi" w:cstheme="minorHAnsi"/>
          <w:i/>
          <w:iCs/>
          <w:color w:val="auto"/>
          <w:sz w:val="24"/>
          <w:szCs w:val="24"/>
        </w:rPr>
      </w:pPr>
      <w:r>
        <w:rPr>
          <w:rFonts w:asciiTheme="minorHAnsi" w:hAnsiTheme="minorHAnsi" w:cstheme="minorHAnsi"/>
          <w:color w:val="auto"/>
          <w:sz w:val="24"/>
          <w:szCs w:val="24"/>
        </w:rPr>
        <w:t>T</w:t>
      </w:r>
      <w:r w:rsidRPr="00B22BCC">
        <w:rPr>
          <w:rFonts w:asciiTheme="minorHAnsi" w:hAnsiTheme="minorHAnsi" w:cstheme="minorHAnsi"/>
          <w:color w:val="auto"/>
          <w:sz w:val="24"/>
          <w:szCs w:val="24"/>
        </w:rPr>
        <w:t>his request</w:t>
      </w:r>
      <w:r>
        <w:rPr>
          <w:rFonts w:asciiTheme="minorHAnsi" w:hAnsiTheme="minorHAnsi" w:cstheme="minorHAnsi"/>
          <w:color w:val="auto"/>
          <w:sz w:val="24"/>
          <w:szCs w:val="24"/>
        </w:rPr>
        <w:t xml:space="preserve"> is</w:t>
      </w:r>
      <w:r w:rsidRPr="00B22BCC">
        <w:rPr>
          <w:rFonts w:asciiTheme="minorHAnsi" w:hAnsiTheme="minorHAnsi" w:cstheme="minorHAnsi"/>
          <w:color w:val="auto"/>
          <w:sz w:val="24"/>
          <w:szCs w:val="24"/>
        </w:rPr>
        <w:t xml:space="preserve"> from</w:t>
      </w:r>
      <w:r>
        <w:rPr>
          <w:rFonts w:asciiTheme="minorHAnsi" w:hAnsiTheme="minorHAnsi" w:cstheme="minorHAnsi"/>
          <w:color w:val="auto"/>
          <w:sz w:val="24"/>
          <w:szCs w:val="24"/>
        </w:rPr>
        <w:t xml:space="preserve"> the Center for Communication &amp; Development </w:t>
      </w:r>
      <w:r w:rsidRPr="00B22BCC">
        <w:rPr>
          <w:rFonts w:asciiTheme="minorHAnsi" w:hAnsiTheme="minorHAnsi" w:cstheme="minorHAnsi"/>
          <w:color w:val="auto"/>
          <w:sz w:val="24"/>
          <w:szCs w:val="24"/>
        </w:rPr>
        <w:t>(“Developer”)</w:t>
      </w:r>
      <w:r>
        <w:rPr>
          <w:rFonts w:asciiTheme="minorHAnsi" w:hAnsiTheme="minorHAnsi" w:cstheme="minorHAnsi"/>
          <w:color w:val="auto"/>
          <w:sz w:val="24"/>
          <w:szCs w:val="24"/>
        </w:rPr>
        <w:t xml:space="preserve">, a 501c3 nonprofit formed in 1976 and doing business as KMOJ-FM radio.  Per their website:  </w:t>
      </w:r>
      <w:r w:rsidRPr="008F1533">
        <w:rPr>
          <w:rFonts w:asciiTheme="minorHAnsi" w:hAnsiTheme="minorHAnsi" w:cstheme="minorHAnsi"/>
          <w:i/>
          <w:iCs/>
          <w:color w:val="auto"/>
          <w:sz w:val="24"/>
          <w:szCs w:val="24"/>
        </w:rPr>
        <w:t>With initial support from the Minneapolis Public Housing Authority, the Center for Communication and Development (CCD)/KMOJ was born to provide broadcast communications training for African</w:t>
      </w:r>
      <w:r>
        <w:rPr>
          <w:rFonts w:asciiTheme="minorHAnsi" w:hAnsiTheme="minorHAnsi" w:cstheme="minorHAnsi"/>
          <w:i/>
          <w:iCs/>
          <w:color w:val="auto"/>
          <w:sz w:val="24"/>
          <w:szCs w:val="24"/>
        </w:rPr>
        <w:t>-</w:t>
      </w:r>
      <w:r w:rsidRPr="008F1533">
        <w:rPr>
          <w:rFonts w:asciiTheme="minorHAnsi" w:hAnsiTheme="minorHAnsi" w:cstheme="minorHAnsi"/>
          <w:i/>
          <w:iCs/>
          <w:color w:val="auto"/>
          <w:sz w:val="24"/>
          <w:szCs w:val="24"/>
        </w:rPr>
        <w:t>America</w:t>
      </w:r>
      <w:r>
        <w:rPr>
          <w:rFonts w:asciiTheme="minorHAnsi" w:hAnsiTheme="minorHAnsi" w:cstheme="minorHAnsi"/>
          <w:i/>
          <w:iCs/>
          <w:color w:val="auto"/>
          <w:sz w:val="24"/>
          <w:szCs w:val="24"/>
        </w:rPr>
        <w:t xml:space="preserve">ns </w:t>
      </w:r>
      <w:r w:rsidRPr="008F1533">
        <w:rPr>
          <w:rFonts w:asciiTheme="minorHAnsi" w:hAnsiTheme="minorHAnsi" w:cstheme="minorHAnsi"/>
          <w:i/>
          <w:iCs/>
          <w:color w:val="auto"/>
          <w:sz w:val="24"/>
          <w:szCs w:val="24"/>
        </w:rPr>
        <w:t xml:space="preserve">living in the </w:t>
      </w:r>
      <w:proofErr w:type="spellStart"/>
      <w:r w:rsidRPr="008F1533">
        <w:rPr>
          <w:rFonts w:asciiTheme="minorHAnsi" w:hAnsiTheme="minorHAnsi" w:cstheme="minorHAnsi"/>
          <w:i/>
          <w:iCs/>
          <w:color w:val="auto"/>
          <w:sz w:val="24"/>
          <w:szCs w:val="24"/>
        </w:rPr>
        <w:t>Tiwn</w:t>
      </w:r>
      <w:proofErr w:type="spellEnd"/>
      <w:r w:rsidRPr="008F1533">
        <w:rPr>
          <w:rFonts w:asciiTheme="minorHAnsi" w:hAnsiTheme="minorHAnsi" w:cstheme="minorHAnsi"/>
          <w:i/>
          <w:iCs/>
          <w:color w:val="auto"/>
          <w:sz w:val="24"/>
          <w:szCs w:val="24"/>
        </w:rPr>
        <w:t xml:space="preserve"> Cities and serve as an information and communication vehicle for </w:t>
      </w:r>
      <w:r>
        <w:rPr>
          <w:rFonts w:asciiTheme="minorHAnsi" w:hAnsiTheme="minorHAnsi" w:cstheme="minorHAnsi"/>
          <w:i/>
          <w:iCs/>
          <w:color w:val="auto"/>
          <w:sz w:val="24"/>
          <w:szCs w:val="24"/>
        </w:rPr>
        <w:t>the</w:t>
      </w:r>
      <w:r w:rsidRPr="008F1533">
        <w:rPr>
          <w:rFonts w:asciiTheme="minorHAnsi" w:hAnsiTheme="minorHAnsi" w:cstheme="minorHAnsi"/>
          <w:i/>
          <w:iCs/>
          <w:color w:val="auto"/>
          <w:sz w:val="24"/>
          <w:szCs w:val="24"/>
        </w:rPr>
        <w:t xml:space="preserve"> African-American community as a whole.  The CCD was awarded a broadcasting license from the FCC in 1976 and began operating “on-the-air” as KMOJ-FM.  </w:t>
      </w:r>
      <w:proofErr w:type="gramStart"/>
      <w:r w:rsidRPr="008F1533">
        <w:rPr>
          <w:rFonts w:asciiTheme="minorHAnsi" w:hAnsiTheme="minorHAnsi" w:cstheme="minorHAnsi"/>
          <w:i/>
          <w:iCs/>
          <w:color w:val="auto"/>
          <w:sz w:val="24"/>
          <w:szCs w:val="24"/>
        </w:rPr>
        <w:t>These station</w:t>
      </w:r>
      <w:proofErr w:type="gramEnd"/>
      <w:r w:rsidRPr="008F1533">
        <w:rPr>
          <w:rFonts w:asciiTheme="minorHAnsi" w:hAnsiTheme="minorHAnsi" w:cstheme="minorHAnsi"/>
          <w:i/>
          <w:iCs/>
          <w:color w:val="auto"/>
          <w:sz w:val="24"/>
          <w:szCs w:val="24"/>
        </w:rPr>
        <w:t xml:space="preserve"> call letters were inspired by the Swahili word “UMOJA” that means Unity.  The station is recognized across the metro as “The Heart and Soul of the Cities”.</w:t>
      </w:r>
    </w:p>
    <w:p w14:paraId="7A6CE35C" w14:textId="77777777" w:rsidR="003632BD" w:rsidRDefault="003632BD" w:rsidP="003632BD">
      <w:pPr>
        <w:pStyle w:val="Heading2"/>
        <w:shd w:val="clear" w:color="auto" w:fill="FCFCFC"/>
        <w:spacing w:before="0" w:line="324" w:lineRule="atLeast"/>
        <w:rPr>
          <w:rFonts w:asciiTheme="minorHAnsi" w:hAnsiTheme="minorHAnsi" w:cstheme="minorHAnsi"/>
          <w:color w:val="auto"/>
          <w:sz w:val="24"/>
          <w:szCs w:val="24"/>
        </w:rPr>
      </w:pPr>
    </w:p>
    <w:p w14:paraId="3E5B2C3E" w14:textId="77777777" w:rsidR="003632BD" w:rsidRDefault="003632BD" w:rsidP="003632BD">
      <w:pPr>
        <w:pStyle w:val="Heading2"/>
        <w:shd w:val="clear" w:color="auto" w:fill="FCFCFC"/>
        <w:spacing w:before="0" w:line="324" w:lineRule="atLeast"/>
        <w:rPr>
          <w:rFonts w:asciiTheme="minorHAnsi" w:hAnsiTheme="minorHAnsi" w:cstheme="minorHAnsi"/>
          <w:color w:val="auto"/>
          <w:sz w:val="24"/>
          <w:szCs w:val="24"/>
        </w:rPr>
      </w:pPr>
      <w:r>
        <w:rPr>
          <w:rFonts w:asciiTheme="minorHAnsi" w:hAnsiTheme="minorHAnsi" w:cstheme="minorHAnsi"/>
          <w:color w:val="auto"/>
          <w:sz w:val="24"/>
          <w:szCs w:val="24"/>
        </w:rPr>
        <w:t xml:space="preserve">The Developer entered into a purchase agreement in April 2025 to purchase a vacant </w:t>
      </w:r>
      <w:proofErr w:type="gramStart"/>
      <w:r>
        <w:rPr>
          <w:rFonts w:asciiTheme="minorHAnsi" w:hAnsiTheme="minorHAnsi" w:cstheme="minorHAnsi"/>
          <w:color w:val="auto"/>
          <w:sz w:val="24"/>
          <w:szCs w:val="24"/>
        </w:rPr>
        <w:t>.27 acre</w:t>
      </w:r>
      <w:proofErr w:type="gramEnd"/>
      <w:r>
        <w:rPr>
          <w:rFonts w:asciiTheme="minorHAnsi" w:hAnsiTheme="minorHAnsi" w:cstheme="minorHAnsi"/>
          <w:color w:val="auto"/>
          <w:sz w:val="24"/>
          <w:szCs w:val="24"/>
        </w:rPr>
        <w:t xml:space="preserve"> commercial property</w:t>
      </w:r>
      <w:r w:rsidRPr="00B22BCC">
        <w:rPr>
          <w:rFonts w:asciiTheme="minorHAnsi" w:hAnsiTheme="minorHAnsi" w:cstheme="minorHAnsi"/>
          <w:color w:val="auto"/>
          <w:sz w:val="24"/>
          <w:szCs w:val="24"/>
        </w:rPr>
        <w:t xml:space="preserve"> </w:t>
      </w:r>
      <w:r>
        <w:rPr>
          <w:rFonts w:asciiTheme="minorHAnsi" w:hAnsiTheme="minorHAnsi" w:cstheme="minorHAnsi"/>
          <w:color w:val="auto"/>
          <w:sz w:val="24"/>
          <w:szCs w:val="24"/>
        </w:rPr>
        <w:t xml:space="preserve">located at 2125 Lowry Avenue North (“Site”) for the purpose of constructing an approximate 10,000 SF slab-on-grade building to house KMOJ-FM operations.  The Seller has provided a 2006 Phase I ESA that indicates the Site was occupied by a gas station and is identified as a Leaking Underground Storage Tank (“LUST”) site (LS00010003).  The Site is also proximate to a historical drycleaner with documented releases to soil and ground water. </w:t>
      </w:r>
    </w:p>
    <w:p w14:paraId="4ABD2F0C" w14:textId="77777777" w:rsidR="003632BD" w:rsidRDefault="003632BD" w:rsidP="003632BD">
      <w:pPr>
        <w:pStyle w:val="Heading2"/>
        <w:shd w:val="clear" w:color="auto" w:fill="FCFCFC"/>
        <w:spacing w:before="0" w:line="324" w:lineRule="atLeast"/>
        <w:rPr>
          <w:rFonts w:asciiTheme="minorHAnsi" w:hAnsiTheme="minorHAnsi" w:cstheme="minorHAnsi"/>
          <w:color w:val="auto"/>
          <w:sz w:val="24"/>
          <w:szCs w:val="24"/>
        </w:rPr>
      </w:pPr>
    </w:p>
    <w:p w14:paraId="56C2C81C" w14:textId="1CF37AEF" w:rsidR="003632BD" w:rsidRDefault="003632BD" w:rsidP="003632BD">
      <w:pPr>
        <w:pStyle w:val="Heading2"/>
        <w:shd w:val="clear" w:color="auto" w:fill="FCFCFC"/>
        <w:spacing w:before="0" w:line="324" w:lineRule="atLeast"/>
        <w:rPr>
          <w:rFonts w:asciiTheme="minorHAnsi" w:hAnsiTheme="minorHAnsi" w:cstheme="minorHAnsi"/>
          <w:color w:val="auto"/>
          <w:sz w:val="24"/>
          <w:szCs w:val="24"/>
        </w:rPr>
      </w:pPr>
      <w:r>
        <w:rPr>
          <w:rFonts w:asciiTheme="minorHAnsi" w:hAnsiTheme="minorHAnsi" w:cstheme="minorHAnsi"/>
          <w:color w:val="auto"/>
          <w:sz w:val="24"/>
          <w:szCs w:val="24"/>
        </w:rPr>
        <w:t xml:space="preserve">Based on this information, the Developer is requesting BGFP funding to complete both an updated Phase I ESA and a Phase II Investigation.  Landmark has provided a proposal dated October 10, 2025 in the amount of $11,125 to perform this work.  </w:t>
      </w:r>
    </w:p>
    <w:p w14:paraId="17F3C775" w14:textId="77777777" w:rsidR="00A617D0" w:rsidRDefault="00A617D0" w:rsidP="00A617D0"/>
    <w:p w14:paraId="356FC3C4" w14:textId="77777777" w:rsidR="00A617D0" w:rsidRDefault="00A617D0" w:rsidP="00A617D0"/>
    <w:p w14:paraId="336CBDD7" w14:textId="77777777" w:rsidR="00A617D0" w:rsidRDefault="00A617D0" w:rsidP="00A617D0"/>
    <w:p w14:paraId="54FCF339" w14:textId="77777777" w:rsidR="00A617D0" w:rsidRPr="00A617D0" w:rsidRDefault="00A617D0" w:rsidP="00A617D0"/>
    <w:p w14:paraId="05741641" w14:textId="77777777" w:rsidR="00A617D0" w:rsidRDefault="00A617D0" w:rsidP="00A617D0"/>
    <w:p w14:paraId="6133C44B" w14:textId="77777777" w:rsidR="00A617D0" w:rsidRPr="00A617D0" w:rsidRDefault="00A617D0" w:rsidP="00A617D0">
      <w:pPr>
        <w:pStyle w:val="NoSpacing"/>
        <w:rPr>
          <w:b/>
          <w:bCs/>
        </w:rPr>
      </w:pPr>
      <w:r w:rsidRPr="00A617D0">
        <w:rPr>
          <w:b/>
          <w:bCs/>
        </w:rPr>
        <w:lastRenderedPageBreak/>
        <w:t>Applicant:</w:t>
      </w:r>
      <w:r w:rsidRPr="00A617D0">
        <w:rPr>
          <w:b/>
          <w:bCs/>
        </w:rPr>
        <w:tab/>
        <w:t xml:space="preserve">Tito Wilson, Wilson’s Image Holding </w:t>
      </w:r>
      <w:proofErr w:type="gramStart"/>
      <w:r w:rsidRPr="00A617D0">
        <w:rPr>
          <w:b/>
          <w:bCs/>
        </w:rPr>
        <w:t>LLC  EMERGING</w:t>
      </w:r>
      <w:proofErr w:type="gramEnd"/>
      <w:r w:rsidRPr="00A617D0">
        <w:rPr>
          <w:b/>
          <w:bCs/>
        </w:rPr>
        <w:t xml:space="preserve"> DEVELOPER</w:t>
      </w:r>
    </w:p>
    <w:p w14:paraId="19FE5248" w14:textId="77777777" w:rsidR="00A617D0" w:rsidRPr="00A617D0" w:rsidRDefault="00A617D0" w:rsidP="00A617D0">
      <w:pPr>
        <w:pStyle w:val="NoSpacing"/>
        <w:rPr>
          <w:b/>
          <w:bCs/>
        </w:rPr>
      </w:pPr>
      <w:r w:rsidRPr="00A617D0">
        <w:rPr>
          <w:b/>
          <w:bCs/>
        </w:rPr>
        <w:tab/>
      </w:r>
      <w:r w:rsidRPr="00A617D0">
        <w:rPr>
          <w:b/>
          <w:bCs/>
        </w:rPr>
        <w:tab/>
        <w:t>(</w:t>
      </w:r>
      <w:hyperlink r:id="rId11" w:history="1">
        <w:r w:rsidRPr="00A617D0">
          <w:rPr>
            <w:rStyle w:val="Hyperlink"/>
            <w:b/>
            <w:bCs/>
          </w:rPr>
          <w:t>wilsonsimage@gmail.com</w:t>
        </w:r>
      </w:hyperlink>
      <w:r w:rsidRPr="00A617D0">
        <w:rPr>
          <w:b/>
          <w:bCs/>
        </w:rPr>
        <w:t xml:space="preserve">; </w:t>
      </w:r>
      <w:hyperlink r:id="rId12" w:history="1">
        <w:r w:rsidRPr="00A617D0">
          <w:rPr>
            <w:rStyle w:val="Hyperlink"/>
            <w:b/>
            <w:bCs/>
          </w:rPr>
          <w:t>chris@elementmn.com</w:t>
        </w:r>
      </w:hyperlink>
      <w:r w:rsidRPr="00A617D0">
        <w:rPr>
          <w:b/>
          <w:bCs/>
        </w:rPr>
        <w:t>)</w:t>
      </w:r>
    </w:p>
    <w:p w14:paraId="4CA75040" w14:textId="77777777" w:rsidR="00A617D0" w:rsidRPr="00A617D0" w:rsidRDefault="00A617D0" w:rsidP="00A617D0">
      <w:pPr>
        <w:pStyle w:val="NoSpacing"/>
        <w:rPr>
          <w:b/>
          <w:bCs/>
        </w:rPr>
      </w:pPr>
      <w:r w:rsidRPr="00A617D0">
        <w:rPr>
          <w:b/>
          <w:bCs/>
        </w:rPr>
        <w:t>Project:</w:t>
      </w:r>
      <w:r w:rsidRPr="00A617D0">
        <w:rPr>
          <w:b/>
          <w:bCs/>
        </w:rPr>
        <w:tab/>
        <w:t>SWANK Eatery, 316 ½-, 320-,324-, and 328-West Broadway, Minneapolis</w:t>
      </w:r>
    </w:p>
    <w:p w14:paraId="49BE74A7" w14:textId="77777777" w:rsidR="00A617D0" w:rsidRPr="00A617D0" w:rsidRDefault="00A617D0" w:rsidP="00A617D0">
      <w:pPr>
        <w:pStyle w:val="NoSpacing"/>
        <w:rPr>
          <w:b/>
          <w:bCs/>
        </w:rPr>
      </w:pPr>
      <w:r w:rsidRPr="00A617D0">
        <w:rPr>
          <w:b/>
          <w:bCs/>
        </w:rPr>
        <w:t>Parcel ID #s:</w:t>
      </w:r>
      <w:r w:rsidRPr="00A617D0">
        <w:rPr>
          <w:b/>
          <w:bCs/>
        </w:rPr>
        <w:tab/>
        <w:t>15029242301-80, -28, -29 (.93 acre)</w:t>
      </w:r>
    </w:p>
    <w:p w14:paraId="2A8DF67F" w14:textId="77777777" w:rsidR="00A617D0" w:rsidRPr="00A617D0" w:rsidRDefault="00A617D0" w:rsidP="00A617D0">
      <w:pPr>
        <w:pStyle w:val="NoSpacing"/>
        <w:rPr>
          <w:b/>
          <w:bCs/>
        </w:rPr>
      </w:pPr>
      <w:r w:rsidRPr="00A617D0">
        <w:rPr>
          <w:b/>
          <w:bCs/>
        </w:rPr>
        <w:t>Consultant:</w:t>
      </w:r>
      <w:r w:rsidRPr="00A617D0">
        <w:rPr>
          <w:b/>
          <w:bCs/>
        </w:rPr>
        <w:tab/>
        <w:t>Landmark Environmental (</w:t>
      </w:r>
      <w:hyperlink r:id="rId13" w:history="1">
        <w:r w:rsidRPr="00A617D0">
          <w:rPr>
            <w:rStyle w:val="Hyperlink"/>
            <w:b/>
            <w:bCs/>
          </w:rPr>
          <w:t>celling@landmarkenv.com</w:t>
        </w:r>
      </w:hyperlink>
      <w:r w:rsidRPr="00A617D0">
        <w:rPr>
          <w:b/>
          <w:bCs/>
        </w:rPr>
        <w:t>)</w:t>
      </w:r>
    </w:p>
    <w:p w14:paraId="23363916" w14:textId="77777777" w:rsidR="00A617D0" w:rsidRPr="00A617D0" w:rsidRDefault="00A617D0" w:rsidP="00A617D0">
      <w:pPr>
        <w:pStyle w:val="NoSpacing"/>
        <w:rPr>
          <w:b/>
          <w:bCs/>
        </w:rPr>
      </w:pPr>
      <w:r w:rsidRPr="00A617D0">
        <w:rPr>
          <w:b/>
          <w:bCs/>
        </w:rPr>
        <w:t>Request:</w:t>
      </w:r>
      <w:r w:rsidRPr="00A617D0">
        <w:rPr>
          <w:b/>
          <w:bCs/>
        </w:rPr>
        <w:tab/>
        <w:t>$19,815</w:t>
      </w:r>
    </w:p>
    <w:p w14:paraId="7238B763" w14:textId="77777777" w:rsidR="00A617D0" w:rsidRPr="00A617D0" w:rsidRDefault="00A617D0" w:rsidP="00A617D0">
      <w:pPr>
        <w:pStyle w:val="NoSpacing"/>
        <w:rPr>
          <w:b/>
          <w:bCs/>
        </w:rPr>
      </w:pPr>
      <w:r w:rsidRPr="00A617D0">
        <w:rPr>
          <w:b/>
          <w:bCs/>
        </w:rPr>
        <w:t>Grant Round:</w:t>
      </w:r>
      <w:r w:rsidRPr="00A617D0">
        <w:rPr>
          <w:b/>
          <w:bCs/>
        </w:rPr>
        <w:tab/>
        <w:t>FY 25 PR000007633</w:t>
      </w:r>
    </w:p>
    <w:p w14:paraId="04E04C3A" w14:textId="77777777" w:rsidR="00A617D0" w:rsidRPr="00A617D0" w:rsidRDefault="00A617D0" w:rsidP="00A617D0"/>
    <w:p w14:paraId="2BD8F8E8" w14:textId="68071ADD" w:rsidR="00A617D0" w:rsidRPr="00A617D0" w:rsidRDefault="00E076A4" w:rsidP="00A617D0">
      <w:pPr>
        <w:rPr>
          <w:i/>
          <w:iCs/>
        </w:rPr>
      </w:pPr>
      <w:r>
        <w:t>T</w:t>
      </w:r>
      <w:r w:rsidR="00A617D0" w:rsidRPr="00A617D0">
        <w:t>his request</w:t>
      </w:r>
      <w:r>
        <w:t xml:space="preserve"> is</w:t>
      </w:r>
      <w:r w:rsidR="00A617D0" w:rsidRPr="00A617D0">
        <w:t xml:space="preserve"> from Tito Wilson, owner of Wilson’s Image Holding LLC (“Developer”), a limited liability company registered with the Secretary of State in 2022.  Mr. Wilson also owns Wilson’s Image Barbers and Stylists at 2126 West Broadway and is considered a “community ambassador” in the neighborhood.  The Developer entity was formed to purchase and hold property for this project: demolition of existing buildings and new construction of a 14,000 SF two-story building with basement for SWANK Eatery (“Project”).  The Project is a food hall with a brewery, bar, five food vendors operating out of individual kitchens in support of local food entrepreneurs/culture, a shared dining area, private dining room for events, and outdoor seating at ground and second floor deck levels.  </w:t>
      </w:r>
    </w:p>
    <w:p w14:paraId="3DD199B9" w14:textId="77777777" w:rsidR="00A617D0" w:rsidRPr="00A617D0" w:rsidRDefault="00A617D0" w:rsidP="00A617D0"/>
    <w:p w14:paraId="2D0325F3" w14:textId="77777777" w:rsidR="00A617D0" w:rsidRPr="00A617D0" w:rsidRDefault="00A617D0" w:rsidP="00A617D0">
      <w:r w:rsidRPr="00A617D0">
        <w:t xml:space="preserve">A 2023 Phase I ESA was prepared by Angstrom Analytical Inc. that showed previous occupants of the existing buildings were hard goods retailers and food/liquor establishments.  There was a verified petroleum release to soil and groundwater from a creamery 200’ upgradient northwest; a south-adjacent dry cleaner was also identified.  The Phase I ESA recommended an Asbestos Containing Materials (“ACM”) survey and vapor testing </w:t>
      </w:r>
    </w:p>
    <w:p w14:paraId="6CD3A9A6" w14:textId="77777777" w:rsidR="00A617D0" w:rsidRPr="00A617D0" w:rsidRDefault="00A617D0" w:rsidP="00A617D0"/>
    <w:p w14:paraId="2D9454B3" w14:textId="405A4C73" w:rsidR="00A617D0" w:rsidRPr="00A617D0" w:rsidRDefault="00A617D0" w:rsidP="00A617D0">
      <w:r w:rsidRPr="00A617D0">
        <w:t xml:space="preserve">Based on both this information and the proposed Project plans, the Developer is requesting BGFP funding to complete a Pre-Demolition Survey and a Phase II ESA Investigation.  Landmark has provided a proposal dated October 14, 2025 in the amount of $19,815 to perform this work.  </w:t>
      </w:r>
    </w:p>
    <w:p w14:paraId="14BB42DA" w14:textId="77777777" w:rsidR="00E32188" w:rsidRDefault="00E32188" w:rsidP="00E32188">
      <w:pPr>
        <w:jc w:val="right"/>
      </w:pPr>
    </w:p>
    <w:p w14:paraId="78735067" w14:textId="77777777" w:rsidR="00E32188" w:rsidRDefault="00E32188" w:rsidP="00E32188">
      <w:pPr>
        <w:jc w:val="right"/>
      </w:pPr>
    </w:p>
    <w:p w14:paraId="0FA9DE3D" w14:textId="77777777" w:rsidR="00E32188" w:rsidRDefault="00E32188" w:rsidP="00E32188">
      <w:pPr>
        <w:jc w:val="right"/>
      </w:pPr>
    </w:p>
    <w:p w14:paraId="19B56323" w14:textId="77777777" w:rsidR="003632BD" w:rsidRPr="00B319E8" w:rsidRDefault="003632BD" w:rsidP="00B319E8"/>
    <w:p w14:paraId="02BF8608" w14:textId="77777777" w:rsidR="00E32188" w:rsidRPr="00E32188" w:rsidRDefault="00E32188" w:rsidP="00E32188">
      <w:pPr>
        <w:spacing w:after="0" w:line="240" w:lineRule="auto"/>
        <w:rPr>
          <w:rFonts w:eastAsia="Times New Roman" w:cstheme="minorHAnsi"/>
          <w:b/>
          <w:bCs/>
        </w:rPr>
      </w:pPr>
      <w:r w:rsidRPr="00E32188">
        <w:rPr>
          <w:rFonts w:eastAsia="Times New Roman" w:cstheme="minorHAnsi"/>
          <w:b/>
          <w:bCs/>
        </w:rPr>
        <w:lastRenderedPageBreak/>
        <w:t>Applicant:</w:t>
      </w:r>
      <w:r w:rsidRPr="00E32188">
        <w:rPr>
          <w:rFonts w:eastAsia="Times New Roman" w:cstheme="minorHAnsi"/>
          <w:b/>
          <w:bCs/>
        </w:rPr>
        <w:tab/>
        <w:t>Minneapolis Public Schools (heather.nelson@mpls.k12.mn.us)</w:t>
      </w:r>
    </w:p>
    <w:p w14:paraId="08859968" w14:textId="77777777" w:rsidR="00E32188" w:rsidRPr="00E32188" w:rsidRDefault="00E32188" w:rsidP="00E32188">
      <w:pPr>
        <w:spacing w:after="0" w:line="240" w:lineRule="auto"/>
        <w:rPr>
          <w:rFonts w:eastAsia="Times New Roman" w:cstheme="minorHAnsi"/>
          <w:b/>
          <w:bCs/>
        </w:rPr>
      </w:pPr>
      <w:r w:rsidRPr="00E32188">
        <w:rPr>
          <w:rFonts w:eastAsia="Times New Roman" w:cstheme="minorHAnsi"/>
          <w:b/>
          <w:bCs/>
        </w:rPr>
        <w:t>Project:</w:t>
      </w:r>
      <w:r w:rsidRPr="00E32188">
        <w:rPr>
          <w:rFonts w:eastAsia="Times New Roman" w:cstheme="minorHAnsi"/>
          <w:b/>
          <w:bCs/>
        </w:rPr>
        <w:tab/>
      </w:r>
      <w:r w:rsidRPr="00E32188">
        <w:rPr>
          <w:rFonts w:eastAsia="Times New Roman" w:cstheme="minorHAnsi"/>
          <w:b/>
          <w:bCs/>
          <w:i/>
          <w:iCs/>
        </w:rPr>
        <w:t xml:space="preserve">Tuttle School Repurposing, </w:t>
      </w:r>
      <w:r w:rsidRPr="00E32188">
        <w:rPr>
          <w:rFonts w:eastAsia="Times New Roman" w:cstheme="minorHAnsi"/>
          <w:b/>
          <w:bCs/>
        </w:rPr>
        <w:t>1042 18</w:t>
      </w:r>
      <w:r w:rsidRPr="00E32188">
        <w:rPr>
          <w:rFonts w:eastAsia="Times New Roman" w:cstheme="minorHAnsi"/>
          <w:b/>
          <w:bCs/>
          <w:vertAlign w:val="superscript"/>
        </w:rPr>
        <w:t>th</w:t>
      </w:r>
      <w:r w:rsidRPr="00E32188">
        <w:rPr>
          <w:rFonts w:eastAsia="Times New Roman" w:cstheme="minorHAnsi"/>
          <w:b/>
          <w:bCs/>
        </w:rPr>
        <w:t xml:space="preserve"> Ave. SE &amp; 1000 19</w:t>
      </w:r>
      <w:r w:rsidRPr="00E32188">
        <w:rPr>
          <w:rFonts w:eastAsia="Times New Roman" w:cstheme="minorHAnsi"/>
          <w:b/>
          <w:bCs/>
          <w:vertAlign w:val="superscript"/>
        </w:rPr>
        <w:t>th</w:t>
      </w:r>
      <w:r w:rsidRPr="00E32188">
        <w:rPr>
          <w:rFonts w:eastAsia="Times New Roman" w:cstheme="minorHAnsi"/>
          <w:b/>
          <w:bCs/>
        </w:rPr>
        <w:t xml:space="preserve"> Ave. SE</w:t>
      </w:r>
      <w:r w:rsidRPr="00E32188">
        <w:rPr>
          <w:rFonts w:eastAsia="Times New Roman" w:cstheme="minorHAnsi"/>
          <w:b/>
          <w:bCs/>
          <w:i/>
          <w:iCs/>
        </w:rPr>
        <w:t xml:space="preserve"> </w:t>
      </w:r>
      <w:r w:rsidRPr="00E32188">
        <w:rPr>
          <w:rFonts w:eastAsia="Times New Roman" w:cstheme="minorHAnsi"/>
          <w:b/>
          <w:bCs/>
        </w:rPr>
        <w:t>(2.85 acres)</w:t>
      </w:r>
    </w:p>
    <w:p w14:paraId="085ADC9D" w14:textId="77777777" w:rsidR="00E32188" w:rsidRPr="00E32188" w:rsidRDefault="00E32188" w:rsidP="00E32188">
      <w:pPr>
        <w:spacing w:after="0" w:line="240" w:lineRule="auto"/>
        <w:rPr>
          <w:rFonts w:eastAsia="Times New Roman" w:cstheme="minorHAnsi"/>
          <w:b/>
          <w:bCs/>
        </w:rPr>
      </w:pPr>
      <w:r w:rsidRPr="00E32188">
        <w:rPr>
          <w:rFonts w:eastAsia="Times New Roman" w:cstheme="minorHAnsi"/>
          <w:b/>
          <w:bCs/>
        </w:rPr>
        <w:t>Property ID:</w:t>
      </w:r>
      <w:r w:rsidRPr="00E32188">
        <w:rPr>
          <w:rFonts w:eastAsia="Times New Roman" w:cstheme="minorHAnsi"/>
          <w:b/>
          <w:bCs/>
        </w:rPr>
        <w:tab/>
        <w:t>19-029-23-22-0083 and 0024</w:t>
      </w:r>
    </w:p>
    <w:p w14:paraId="20CE357D" w14:textId="77777777" w:rsidR="00E32188" w:rsidRPr="00E32188" w:rsidRDefault="00E32188" w:rsidP="00E32188">
      <w:pPr>
        <w:spacing w:after="0" w:line="240" w:lineRule="auto"/>
        <w:rPr>
          <w:rFonts w:eastAsia="Times New Roman" w:cstheme="minorHAnsi"/>
          <w:b/>
          <w:bCs/>
        </w:rPr>
      </w:pPr>
      <w:r w:rsidRPr="00E32188">
        <w:rPr>
          <w:rFonts w:eastAsia="Times New Roman" w:cstheme="minorHAnsi"/>
          <w:b/>
          <w:bCs/>
        </w:rPr>
        <w:t>Consultant:</w:t>
      </w:r>
      <w:r w:rsidRPr="00E32188">
        <w:rPr>
          <w:rFonts w:eastAsia="Times New Roman" w:cstheme="minorHAnsi"/>
          <w:b/>
          <w:bCs/>
        </w:rPr>
        <w:tab/>
        <w:t>Condition Services (bmurdock@conditionservices.com)</w:t>
      </w:r>
    </w:p>
    <w:p w14:paraId="21E6CB6A" w14:textId="77777777" w:rsidR="00E32188" w:rsidRPr="00E32188" w:rsidRDefault="00E32188" w:rsidP="00E32188">
      <w:pPr>
        <w:spacing w:after="0" w:line="240" w:lineRule="auto"/>
        <w:rPr>
          <w:rFonts w:eastAsia="Times New Roman" w:cstheme="minorHAnsi"/>
          <w:b/>
          <w:bCs/>
        </w:rPr>
      </w:pPr>
      <w:r w:rsidRPr="00E32188">
        <w:rPr>
          <w:rFonts w:eastAsia="Times New Roman" w:cstheme="minorHAnsi"/>
          <w:b/>
          <w:bCs/>
        </w:rPr>
        <w:t>Request:</w:t>
      </w:r>
      <w:r w:rsidRPr="00E32188">
        <w:rPr>
          <w:rFonts w:eastAsia="Times New Roman" w:cstheme="minorHAnsi"/>
          <w:b/>
          <w:bCs/>
        </w:rPr>
        <w:tab/>
        <w:t>$24,823.90</w:t>
      </w:r>
    </w:p>
    <w:p w14:paraId="2E166DA3" w14:textId="77777777" w:rsidR="00E32188" w:rsidRPr="00E32188" w:rsidRDefault="00E32188" w:rsidP="00E32188">
      <w:pPr>
        <w:spacing w:after="0" w:line="240" w:lineRule="auto"/>
        <w:rPr>
          <w:rFonts w:eastAsia="Times New Roman" w:cstheme="minorHAnsi"/>
          <w:b/>
          <w:bCs/>
        </w:rPr>
      </w:pPr>
      <w:r w:rsidRPr="00E32188">
        <w:rPr>
          <w:rFonts w:eastAsia="Times New Roman" w:cstheme="minorHAnsi"/>
          <w:b/>
          <w:bCs/>
        </w:rPr>
        <w:t>Grant Round:</w:t>
      </w:r>
      <w:r w:rsidRPr="00E32188">
        <w:rPr>
          <w:rFonts w:eastAsia="Times New Roman" w:cstheme="minorHAnsi"/>
          <w:b/>
          <w:bCs/>
        </w:rPr>
        <w:tab/>
        <w:t>FY 25 PR000007633</w:t>
      </w:r>
    </w:p>
    <w:p w14:paraId="2D78CEAC" w14:textId="77777777" w:rsidR="00E32188" w:rsidRPr="002F2BF2" w:rsidRDefault="00E32188" w:rsidP="00E32188">
      <w:pPr>
        <w:spacing w:after="0" w:line="240" w:lineRule="auto"/>
        <w:rPr>
          <w:rFonts w:eastAsia="Times New Roman" w:cstheme="minorHAnsi"/>
        </w:rPr>
      </w:pPr>
    </w:p>
    <w:p w14:paraId="3925AE85" w14:textId="0A2E8BCA" w:rsidR="00E32188" w:rsidRDefault="00E32188" w:rsidP="00E32188">
      <w:pPr>
        <w:pStyle w:val="NormalWeb"/>
        <w:shd w:val="clear" w:color="auto" w:fill="FFFFFF"/>
        <w:spacing w:after="0"/>
        <w:rPr>
          <w:rFonts w:asciiTheme="minorHAnsi" w:eastAsia="Times New Roman" w:hAnsiTheme="minorHAnsi" w:cstheme="minorHAnsi"/>
        </w:rPr>
      </w:pPr>
      <w:r>
        <w:rPr>
          <w:rFonts w:asciiTheme="minorHAnsi" w:eastAsia="Times New Roman" w:hAnsiTheme="minorHAnsi" w:cstheme="minorHAnsi"/>
        </w:rPr>
        <w:t>This request is from Minneapolis Public Schools (“MPS”) for its proposed Tuttle School Re-Purposing project (“Project”) located at 1042 18</w:t>
      </w:r>
      <w:r w:rsidRPr="00E9057F">
        <w:rPr>
          <w:rFonts w:asciiTheme="minorHAnsi" w:eastAsia="Times New Roman" w:hAnsiTheme="minorHAnsi" w:cstheme="minorHAnsi"/>
          <w:vertAlign w:val="superscript"/>
        </w:rPr>
        <w:t>th</w:t>
      </w:r>
      <w:r>
        <w:rPr>
          <w:rFonts w:asciiTheme="minorHAnsi" w:eastAsia="Times New Roman" w:hAnsiTheme="minorHAnsi" w:cstheme="minorHAnsi"/>
        </w:rPr>
        <w:t xml:space="preserve"> Avenue SE and 1000 19</w:t>
      </w:r>
      <w:r w:rsidRPr="00E9057F">
        <w:rPr>
          <w:rFonts w:asciiTheme="minorHAnsi" w:eastAsia="Times New Roman" w:hAnsiTheme="minorHAnsi" w:cstheme="minorHAnsi"/>
          <w:vertAlign w:val="superscript"/>
        </w:rPr>
        <w:t>th</w:t>
      </w:r>
      <w:r>
        <w:rPr>
          <w:rFonts w:asciiTheme="minorHAnsi" w:eastAsia="Times New Roman" w:hAnsiTheme="minorHAnsi" w:cstheme="minorHAnsi"/>
        </w:rPr>
        <w:t xml:space="preserve"> Avenue SE in Minneapolis (“Site”).  The Site is one block off East Hennepin Avenue and Como Avenue SE—one mile from U of M’s East Bank and adjacent to the creative heart of NE Minneapolis.  The redevelopment plan is to repurpose the existing </w:t>
      </w:r>
      <w:proofErr w:type="gramStart"/>
      <w:r>
        <w:rPr>
          <w:rFonts w:asciiTheme="minorHAnsi" w:eastAsia="Times New Roman" w:hAnsiTheme="minorHAnsi" w:cstheme="minorHAnsi"/>
        </w:rPr>
        <w:t>115 year old</w:t>
      </w:r>
      <w:proofErr w:type="gramEnd"/>
      <w:r>
        <w:rPr>
          <w:rFonts w:asciiTheme="minorHAnsi" w:eastAsia="Times New Roman" w:hAnsiTheme="minorHAnsi" w:cstheme="minorHAnsi"/>
        </w:rPr>
        <w:t xml:space="preserve"> school building without expanding the footprint of the current structure.  MPS has a desire to have the closed school building redeveloped into affordable housing that will preserve its historic attributes.  MPS is exploring eligibility for placement on the Historic Register.  </w:t>
      </w:r>
    </w:p>
    <w:p w14:paraId="75A507BE" w14:textId="77777777" w:rsidR="00E32188" w:rsidRDefault="00E32188" w:rsidP="00E32188">
      <w:pPr>
        <w:pStyle w:val="NormalWeb"/>
        <w:shd w:val="clear" w:color="auto" w:fill="FFFFFF"/>
        <w:spacing w:after="0"/>
        <w:rPr>
          <w:rFonts w:asciiTheme="minorHAnsi" w:eastAsia="Times New Roman" w:hAnsiTheme="minorHAnsi" w:cstheme="minorHAnsi"/>
        </w:rPr>
      </w:pPr>
    </w:p>
    <w:p w14:paraId="572705A6" w14:textId="77777777" w:rsidR="00E32188" w:rsidRDefault="00E32188" w:rsidP="00E32188">
      <w:pPr>
        <w:pStyle w:val="NormalWeb"/>
        <w:shd w:val="clear" w:color="auto" w:fill="FFFFFF"/>
        <w:spacing w:after="0"/>
        <w:rPr>
          <w:rFonts w:asciiTheme="minorHAnsi" w:eastAsia="Times New Roman" w:hAnsiTheme="minorHAnsi" w:cstheme="minorHAnsi"/>
        </w:rPr>
      </w:pPr>
      <w:r>
        <w:rPr>
          <w:rFonts w:asciiTheme="minorHAnsi" w:eastAsia="Times New Roman" w:hAnsiTheme="minorHAnsi" w:cstheme="minorHAnsi"/>
        </w:rPr>
        <w:t>The planned Project will convert former classrooms into approximately 42 residential apartments that could include up to 140 bedrooms generally configured as 2-, 3-, and 4-bedroom units, all at 60% AMI.  The former theater, gym, labs, offices, etc. will be repurposed to meet the needs of the tenants.  Upgrades will include:  windows, plumbing, electrical, HVAC, elevators, sprinkler system, trash/recycling infrastructure, roof, interior/exterior doors, security entry system, and a new supplemental freight size elevator.  Common hallways and stairwells will remain but with cosmetic improvements.  Site improvements include redeveloping the existing surface parking into newly designed parking for the residents along with exterior amenity areas for outdoor entertainment, walkways, off-leash dog park. Existing green space will be retained.</w:t>
      </w:r>
    </w:p>
    <w:p w14:paraId="0F109470" w14:textId="77777777" w:rsidR="00E32188" w:rsidRDefault="00E32188" w:rsidP="00E32188">
      <w:pPr>
        <w:pStyle w:val="NormalWeb"/>
        <w:shd w:val="clear" w:color="auto" w:fill="FFFFFF"/>
        <w:spacing w:after="0"/>
        <w:rPr>
          <w:rFonts w:asciiTheme="minorHAnsi" w:eastAsia="Times New Roman" w:hAnsiTheme="minorHAnsi" w:cstheme="minorHAnsi"/>
        </w:rPr>
      </w:pPr>
    </w:p>
    <w:p w14:paraId="0A1B4C15" w14:textId="36B577EF" w:rsidR="00E32188" w:rsidRDefault="00E32188" w:rsidP="00E32188">
      <w:pPr>
        <w:pStyle w:val="NormalWeb"/>
        <w:shd w:val="clear" w:color="auto" w:fill="FFFFFF"/>
        <w:spacing w:after="0"/>
        <w:rPr>
          <w:rFonts w:asciiTheme="minorHAnsi" w:eastAsia="Times New Roman" w:hAnsiTheme="minorHAnsi" w:cstheme="minorHAnsi"/>
        </w:rPr>
      </w:pPr>
      <w:r>
        <w:rPr>
          <w:rFonts w:asciiTheme="minorHAnsi" w:eastAsia="Times New Roman" w:hAnsiTheme="minorHAnsi" w:cstheme="minorHAnsi"/>
        </w:rPr>
        <w:t xml:space="preserve">MPS has been meeting monthly over the past year with the Southeast Como Improvement Association (“SECIA”).  SECIA is very engaged in the intended reuse of the building and </w:t>
      </w:r>
      <w:proofErr w:type="spellStart"/>
      <w:r>
        <w:rPr>
          <w:rFonts w:asciiTheme="minorHAnsi" w:eastAsia="Times New Roman" w:hAnsiTheme="minorHAnsi" w:cstheme="minorHAnsi"/>
        </w:rPr>
        <w:t>eSite</w:t>
      </w:r>
      <w:proofErr w:type="spellEnd"/>
      <w:r>
        <w:rPr>
          <w:rFonts w:asciiTheme="minorHAnsi" w:eastAsia="Times New Roman" w:hAnsiTheme="minorHAnsi" w:cstheme="minorHAnsi"/>
        </w:rPr>
        <w:t xml:space="preserve">. There is a mutual understanding that the neighborhood priorities for the Site will be aligned on the Site’s reuse.   </w:t>
      </w:r>
    </w:p>
    <w:p w14:paraId="5442685E" w14:textId="77777777" w:rsidR="00E32188" w:rsidRDefault="00E32188" w:rsidP="00E32188">
      <w:pPr>
        <w:pStyle w:val="NormalWeb"/>
        <w:shd w:val="clear" w:color="auto" w:fill="FFFFFF"/>
        <w:spacing w:after="0"/>
        <w:rPr>
          <w:rFonts w:asciiTheme="minorHAnsi" w:eastAsia="Times New Roman" w:hAnsiTheme="minorHAnsi" w:cstheme="minorHAnsi"/>
        </w:rPr>
      </w:pPr>
    </w:p>
    <w:p w14:paraId="12AAB478" w14:textId="77777777" w:rsidR="00E32188" w:rsidRDefault="00E32188" w:rsidP="00E32188">
      <w:pPr>
        <w:pStyle w:val="NormalWeb"/>
        <w:shd w:val="clear" w:color="auto" w:fill="FFFFFF"/>
        <w:spacing w:after="0"/>
        <w:rPr>
          <w:rFonts w:asciiTheme="minorHAnsi" w:eastAsia="Times New Roman" w:hAnsiTheme="minorHAnsi" w:cstheme="minorHAnsi"/>
        </w:rPr>
      </w:pPr>
      <w:r>
        <w:rPr>
          <w:rFonts w:asciiTheme="minorHAnsi" w:eastAsia="Times New Roman" w:hAnsiTheme="minorHAnsi" w:cstheme="minorHAnsi"/>
        </w:rPr>
        <w:t xml:space="preserve">MPS has building survey information documenting asbestos, current and former underground storage tanks, and the MPCA file information related to the upgradient General Mills site that has documented vapor and groundwater impacts at/near the Site.  MPS has entered into a Purchase Agreement with a Developer but first needs to have pre-disposition environmental work performed.  MPS’s environmental consultant, Condition Services, prepared a July 2, 2025 </w:t>
      </w:r>
      <w:r>
        <w:rPr>
          <w:rFonts w:asciiTheme="minorHAnsi" w:eastAsia="Times New Roman" w:hAnsiTheme="minorHAnsi" w:cstheme="minorHAnsi"/>
        </w:rPr>
        <w:lastRenderedPageBreak/>
        <w:t xml:space="preserve">Scope and Estimate of Costs in the amount of $24,823.90 for a Phase I ESA, Active and Former UST Assessment, and Limited sub-slab vapor testing.  </w:t>
      </w:r>
    </w:p>
    <w:p w14:paraId="39DA1CA9" w14:textId="77777777" w:rsidR="00E32188" w:rsidRDefault="00E32188" w:rsidP="00E32188">
      <w:pPr>
        <w:pStyle w:val="NormalWeb"/>
        <w:shd w:val="clear" w:color="auto" w:fill="FFFFFF"/>
        <w:spacing w:after="0"/>
        <w:rPr>
          <w:rFonts w:asciiTheme="minorHAnsi" w:eastAsia="Times New Roman" w:hAnsiTheme="minorHAnsi" w:cstheme="minorHAnsi"/>
        </w:rPr>
      </w:pPr>
    </w:p>
    <w:p w14:paraId="00A47454" w14:textId="77777777" w:rsidR="002260A6" w:rsidRPr="002260A6" w:rsidRDefault="002260A6" w:rsidP="002260A6">
      <w:pPr>
        <w:spacing w:after="0" w:line="240" w:lineRule="auto"/>
        <w:rPr>
          <w:rFonts w:eastAsia="Times New Roman" w:cstheme="minorHAnsi"/>
          <w:b/>
          <w:bCs/>
        </w:rPr>
      </w:pPr>
      <w:r w:rsidRPr="002260A6">
        <w:rPr>
          <w:rFonts w:eastAsia="Times New Roman" w:cstheme="minorHAnsi"/>
          <w:b/>
          <w:bCs/>
        </w:rPr>
        <w:t>Applicant:</w:t>
      </w:r>
      <w:r w:rsidRPr="002260A6">
        <w:rPr>
          <w:rFonts w:eastAsia="Times New Roman" w:cstheme="minorHAnsi"/>
          <w:b/>
          <w:bCs/>
        </w:rPr>
        <w:tab/>
        <w:t>Minneapolis Public Housing Authority (</w:t>
      </w:r>
      <w:hyperlink r:id="rId14" w:history="1">
        <w:r w:rsidRPr="002260A6">
          <w:rPr>
            <w:rStyle w:val="Hyperlink"/>
            <w:rFonts w:eastAsia="Times New Roman" w:cstheme="minorHAnsi"/>
            <w:b/>
            <w:bCs/>
          </w:rPr>
          <w:t>crichard@mplspha.org</w:t>
        </w:r>
      </w:hyperlink>
      <w:r w:rsidRPr="002260A6">
        <w:rPr>
          <w:rFonts w:eastAsia="Times New Roman" w:cstheme="minorHAnsi"/>
          <w:b/>
          <w:bCs/>
        </w:rPr>
        <w:t>)</w:t>
      </w:r>
    </w:p>
    <w:p w14:paraId="400F6A18" w14:textId="77777777" w:rsidR="002260A6" w:rsidRPr="002260A6" w:rsidRDefault="002260A6" w:rsidP="002260A6">
      <w:pPr>
        <w:spacing w:after="0" w:line="240" w:lineRule="auto"/>
        <w:rPr>
          <w:rFonts w:eastAsia="Times New Roman" w:cstheme="minorHAnsi"/>
          <w:b/>
          <w:bCs/>
        </w:rPr>
      </w:pPr>
      <w:r w:rsidRPr="002260A6">
        <w:rPr>
          <w:rFonts w:eastAsia="Times New Roman" w:cstheme="minorHAnsi"/>
          <w:b/>
          <w:bCs/>
        </w:rPr>
        <w:t>Project:</w:t>
      </w:r>
      <w:r w:rsidRPr="002260A6">
        <w:rPr>
          <w:rFonts w:eastAsia="Times New Roman" w:cstheme="minorHAnsi"/>
          <w:b/>
          <w:bCs/>
        </w:rPr>
        <w:tab/>
        <w:t>37</w:t>
      </w:r>
      <w:r w:rsidRPr="002260A6">
        <w:rPr>
          <w:rFonts w:eastAsia="Times New Roman" w:cstheme="minorHAnsi"/>
          <w:b/>
          <w:bCs/>
          <w:vertAlign w:val="superscript"/>
        </w:rPr>
        <w:t>th</w:t>
      </w:r>
      <w:r w:rsidRPr="002260A6">
        <w:rPr>
          <w:rFonts w:eastAsia="Times New Roman" w:cstheme="minorHAnsi"/>
          <w:b/>
          <w:bCs/>
        </w:rPr>
        <w:t xml:space="preserve"> Street Manor, 3205 East 37</w:t>
      </w:r>
      <w:r w:rsidRPr="002260A6">
        <w:rPr>
          <w:rFonts w:eastAsia="Times New Roman" w:cstheme="minorHAnsi"/>
          <w:b/>
          <w:bCs/>
          <w:vertAlign w:val="superscript"/>
        </w:rPr>
        <w:t>th</w:t>
      </w:r>
      <w:r w:rsidRPr="002260A6">
        <w:rPr>
          <w:rFonts w:eastAsia="Times New Roman" w:cstheme="minorHAnsi"/>
          <w:b/>
          <w:bCs/>
        </w:rPr>
        <w:t xml:space="preserve"> Street, Minneapolis</w:t>
      </w:r>
    </w:p>
    <w:p w14:paraId="2A6601AC" w14:textId="77777777" w:rsidR="002260A6" w:rsidRPr="002260A6" w:rsidRDefault="002260A6" w:rsidP="002260A6">
      <w:pPr>
        <w:spacing w:after="0" w:line="240" w:lineRule="auto"/>
        <w:ind w:left="1440" w:hanging="1440"/>
        <w:rPr>
          <w:rFonts w:eastAsia="Times New Roman" w:cstheme="minorHAnsi"/>
          <w:b/>
          <w:bCs/>
        </w:rPr>
      </w:pPr>
      <w:r w:rsidRPr="002260A6">
        <w:rPr>
          <w:rFonts w:eastAsia="Times New Roman" w:cstheme="minorHAnsi"/>
          <w:b/>
          <w:bCs/>
        </w:rPr>
        <w:t>Parcel ID #s:</w:t>
      </w:r>
      <w:r w:rsidRPr="002260A6">
        <w:rPr>
          <w:rFonts w:eastAsia="Times New Roman" w:cstheme="minorHAnsi"/>
          <w:b/>
          <w:bCs/>
        </w:rPr>
        <w:tab/>
        <w:t>0602823330153 (.36 acre)</w:t>
      </w:r>
    </w:p>
    <w:p w14:paraId="265AF874" w14:textId="77777777" w:rsidR="002260A6" w:rsidRPr="002260A6" w:rsidRDefault="002260A6" w:rsidP="002260A6">
      <w:pPr>
        <w:spacing w:after="0" w:line="240" w:lineRule="auto"/>
        <w:rPr>
          <w:rFonts w:eastAsia="Times New Roman" w:cstheme="minorHAnsi"/>
          <w:b/>
          <w:bCs/>
        </w:rPr>
      </w:pPr>
      <w:r w:rsidRPr="002260A6">
        <w:rPr>
          <w:rFonts w:eastAsia="Times New Roman" w:cstheme="minorHAnsi"/>
          <w:b/>
          <w:bCs/>
        </w:rPr>
        <w:t>Consultant:</w:t>
      </w:r>
      <w:r w:rsidRPr="002260A6">
        <w:rPr>
          <w:rFonts w:eastAsia="Times New Roman" w:cstheme="minorHAnsi"/>
          <w:b/>
          <w:bCs/>
        </w:rPr>
        <w:tab/>
        <w:t>The Javelin Group (</w:t>
      </w:r>
      <w:hyperlink r:id="rId15" w:history="1">
        <w:r w:rsidRPr="002260A6">
          <w:rPr>
            <w:rStyle w:val="Hyperlink"/>
            <w:rFonts w:eastAsia="Times New Roman" w:cstheme="minorHAnsi"/>
            <w:b/>
            <w:bCs/>
          </w:rPr>
          <w:t>gbrowne@thejavelingroupinc.com</w:t>
        </w:r>
      </w:hyperlink>
      <w:r w:rsidRPr="002260A6">
        <w:rPr>
          <w:rFonts w:eastAsia="Times New Roman" w:cstheme="minorHAnsi"/>
          <w:b/>
          <w:bCs/>
        </w:rPr>
        <w:t>)</w:t>
      </w:r>
    </w:p>
    <w:p w14:paraId="0AFA533C" w14:textId="77777777" w:rsidR="002260A6" w:rsidRPr="00534290" w:rsidRDefault="002260A6" w:rsidP="002260A6">
      <w:pPr>
        <w:spacing w:after="0" w:line="240" w:lineRule="auto"/>
        <w:rPr>
          <w:rFonts w:eastAsia="Times New Roman" w:cstheme="minorHAnsi"/>
        </w:rPr>
      </w:pPr>
      <w:r w:rsidRPr="002260A6">
        <w:rPr>
          <w:rFonts w:eastAsia="Times New Roman" w:cstheme="minorHAnsi"/>
          <w:b/>
          <w:bCs/>
        </w:rPr>
        <w:t>Grant Round:</w:t>
      </w:r>
      <w:r w:rsidRPr="002260A6">
        <w:rPr>
          <w:rFonts w:eastAsia="Times New Roman" w:cstheme="minorHAnsi"/>
          <w:b/>
          <w:bCs/>
        </w:rPr>
        <w:tab/>
        <w:t>FY 25 PR000007633</w:t>
      </w:r>
    </w:p>
    <w:p w14:paraId="4057D726" w14:textId="77777777" w:rsidR="002260A6" w:rsidRPr="00534290" w:rsidRDefault="002260A6" w:rsidP="002260A6">
      <w:pPr>
        <w:spacing w:after="0" w:line="240" w:lineRule="auto"/>
        <w:rPr>
          <w:rFonts w:eastAsia="Times New Roman" w:cstheme="minorHAnsi"/>
        </w:rPr>
      </w:pPr>
    </w:p>
    <w:p w14:paraId="04E5A90C" w14:textId="31020A5F" w:rsidR="002260A6" w:rsidRDefault="002260A6" w:rsidP="002260A6">
      <w:pPr>
        <w:pStyle w:val="NormalWeb"/>
        <w:shd w:val="clear" w:color="auto" w:fill="FFFFFF"/>
        <w:spacing w:after="300"/>
        <w:rPr>
          <w:rFonts w:asciiTheme="minorHAnsi" w:hAnsiTheme="minorHAnsi" w:cstheme="minorHAnsi"/>
        </w:rPr>
      </w:pPr>
      <w:r>
        <w:rPr>
          <w:rFonts w:asciiTheme="minorHAnsi" w:hAnsiTheme="minorHAnsi" w:cstheme="minorHAnsi"/>
        </w:rPr>
        <w:t>T</w:t>
      </w:r>
      <w:r w:rsidRPr="00B22BCC">
        <w:rPr>
          <w:rFonts w:asciiTheme="minorHAnsi" w:hAnsiTheme="minorHAnsi" w:cstheme="minorHAnsi"/>
        </w:rPr>
        <w:t xml:space="preserve">his request </w:t>
      </w:r>
      <w:r>
        <w:rPr>
          <w:rFonts w:asciiTheme="minorHAnsi" w:hAnsiTheme="minorHAnsi" w:cstheme="minorHAnsi"/>
        </w:rPr>
        <w:t xml:space="preserve">is </w:t>
      </w:r>
      <w:r w:rsidRPr="00B22BCC">
        <w:rPr>
          <w:rFonts w:asciiTheme="minorHAnsi" w:hAnsiTheme="minorHAnsi" w:cstheme="minorHAnsi"/>
        </w:rPr>
        <w:t>from</w:t>
      </w:r>
      <w:r>
        <w:rPr>
          <w:rFonts w:asciiTheme="minorHAnsi" w:hAnsiTheme="minorHAnsi" w:cstheme="minorHAnsi"/>
        </w:rPr>
        <w:t xml:space="preserve"> the Minneapolis Public Housing Authority (“MPHA”) for its 37</w:t>
      </w:r>
      <w:r w:rsidRPr="005379E5">
        <w:rPr>
          <w:rFonts w:asciiTheme="minorHAnsi" w:hAnsiTheme="minorHAnsi" w:cstheme="minorHAnsi"/>
          <w:vertAlign w:val="superscript"/>
        </w:rPr>
        <w:t>th</w:t>
      </w:r>
      <w:r>
        <w:rPr>
          <w:rFonts w:asciiTheme="minorHAnsi" w:hAnsiTheme="minorHAnsi" w:cstheme="minorHAnsi"/>
        </w:rPr>
        <w:t xml:space="preserve"> Street Manor project (“Project”) located at 3205 East 37</w:t>
      </w:r>
      <w:r w:rsidRPr="008E670D">
        <w:rPr>
          <w:rFonts w:asciiTheme="minorHAnsi" w:hAnsiTheme="minorHAnsi" w:cstheme="minorHAnsi"/>
          <w:vertAlign w:val="superscript"/>
        </w:rPr>
        <w:t>th</w:t>
      </w:r>
      <w:r>
        <w:rPr>
          <w:rFonts w:asciiTheme="minorHAnsi" w:hAnsiTheme="minorHAnsi" w:cstheme="minorHAnsi"/>
        </w:rPr>
        <w:t xml:space="preserve"> Street (“Site”).  MPHA’s mission is to promote and deliver quality, well-managed homes to a diverse low-income population and, with partners, contribute to the well-being of individuals, families, and community.  This is accomplished through its three primary programs: Public Housing, Deeply Affordable Family Housing, and Housing Choice Vouchers (Section 8).  More than 26,000 people benefit from these programs.  </w:t>
      </w:r>
    </w:p>
    <w:p w14:paraId="7992D579" w14:textId="77777777" w:rsidR="002260A6" w:rsidRDefault="002260A6" w:rsidP="002260A6">
      <w:pPr>
        <w:pStyle w:val="NormalWeb"/>
        <w:shd w:val="clear" w:color="auto" w:fill="FFFFFF"/>
        <w:spacing w:after="300"/>
        <w:rPr>
          <w:rFonts w:asciiTheme="minorHAnsi" w:hAnsiTheme="minorHAnsi" w:cstheme="minorHAnsi"/>
        </w:rPr>
      </w:pPr>
      <w:r>
        <w:rPr>
          <w:rFonts w:asciiTheme="minorHAnsi" w:hAnsiTheme="minorHAnsi" w:cstheme="minorHAnsi"/>
        </w:rPr>
        <w:t>37</w:t>
      </w:r>
      <w:r w:rsidRPr="00F731F8">
        <w:rPr>
          <w:rFonts w:asciiTheme="minorHAnsi" w:hAnsiTheme="minorHAnsi" w:cstheme="minorHAnsi"/>
          <w:vertAlign w:val="superscript"/>
        </w:rPr>
        <w:t>th</w:t>
      </w:r>
      <w:r>
        <w:rPr>
          <w:rFonts w:asciiTheme="minorHAnsi" w:hAnsiTheme="minorHAnsi" w:cstheme="minorHAnsi"/>
        </w:rPr>
        <w:t xml:space="preserve"> Street Manor is a five-story mid-rise with 28 apartments/29 residents that was built in 1966 and is included within MPHA’s Public Housing portfolio of 5,000 housing units.  The Project is a Rental Assistance Demonstration (RAD) conversion of the building that will convert the subsidy from public housing to project-based Section 8 vouchers, thereby allowing MPHA to obtain new funding sources for the extensive renovation of 37</w:t>
      </w:r>
      <w:r w:rsidRPr="00313542">
        <w:rPr>
          <w:rFonts w:asciiTheme="minorHAnsi" w:hAnsiTheme="minorHAnsi" w:cstheme="minorHAnsi"/>
          <w:vertAlign w:val="superscript"/>
        </w:rPr>
        <w:t>th</w:t>
      </w:r>
      <w:r>
        <w:rPr>
          <w:rFonts w:asciiTheme="minorHAnsi" w:hAnsiTheme="minorHAnsi" w:cstheme="minorHAnsi"/>
        </w:rPr>
        <w:t xml:space="preserve"> Street Manor.  The scope of work has not been finalized but will likely include replacement of/upgrades to existing building systems, exterior façade, windows, and roof.  Unit improvements may include new flooring, kitchens, bathrooms, finishes, and storage.  Enhanced indoor and outdoor community spaces, resident amenities, and security improvements will be incorporated.  MPHA is also exploring opportunities to add new accessible units to the existing footprint to accommodate the needs of current residents as well as its portfolio and waitlist.  MPHA has recent success in RAD conversions with renovations at other properties.</w:t>
      </w:r>
    </w:p>
    <w:p w14:paraId="111471EE" w14:textId="77777777" w:rsidR="002260A6" w:rsidRDefault="002260A6" w:rsidP="002260A6">
      <w:pPr>
        <w:pStyle w:val="NormalWeb"/>
        <w:shd w:val="clear" w:color="auto" w:fill="FFFFFF"/>
        <w:spacing w:after="300"/>
        <w:rPr>
          <w:rFonts w:asciiTheme="minorHAnsi" w:hAnsiTheme="minorHAnsi" w:cstheme="minorHAnsi"/>
        </w:rPr>
      </w:pPr>
      <w:r>
        <w:rPr>
          <w:rFonts w:asciiTheme="minorHAnsi" w:hAnsiTheme="minorHAnsi" w:cstheme="minorHAnsi"/>
        </w:rPr>
        <w:t>The Javelin Group recently completed a Phase I ESA (dated 10/20/25) that identified two RECS: an on-site fuel oil UST and upgradient auto shops.  A Phase II ESA conducted in 2015 concluded that groundwater and soil vapors of the west-adjacent warehouse have been impacted by its long history of use as auto-rated businesses.  An additional business environmental risk is the likelihood of demolition debris/urban fill at the Site, and asbestos-containing building materials and lead throughout the building.   Of note is that the Site is located within EPA Radon Zone 1.</w:t>
      </w:r>
    </w:p>
    <w:p w14:paraId="58636B63" w14:textId="3654A8EB" w:rsidR="002260A6" w:rsidRDefault="002260A6" w:rsidP="002260A6">
      <w:pPr>
        <w:pStyle w:val="NormalWeb"/>
        <w:shd w:val="clear" w:color="auto" w:fill="FFFFFF"/>
        <w:spacing w:after="300"/>
        <w:rPr>
          <w:rFonts w:asciiTheme="minorHAnsi" w:hAnsiTheme="minorHAnsi" w:cstheme="minorHAnsi"/>
        </w:rPr>
      </w:pPr>
      <w:r>
        <w:rPr>
          <w:rFonts w:asciiTheme="minorHAnsi" w:hAnsiTheme="minorHAnsi" w:cstheme="minorHAnsi"/>
        </w:rPr>
        <w:lastRenderedPageBreak/>
        <w:t xml:space="preserve">Based upon this information, MPHA is requesting BGFP funding to complete a winter season vapor intrusion assessment, prepare a MPCA Brownfield Program application, conduct a pre-renovation asbestos building survey, a combination lead-based paint inspection/risk assessment, and a RAP/CCP.  </w:t>
      </w:r>
    </w:p>
    <w:p w14:paraId="2D8491D6" w14:textId="77777777" w:rsidR="00A205DD" w:rsidRPr="00534290" w:rsidRDefault="00A205DD" w:rsidP="00A205DD">
      <w:pPr>
        <w:spacing w:after="0" w:line="240" w:lineRule="auto"/>
        <w:rPr>
          <w:rFonts w:eastAsia="Times New Roman" w:cstheme="minorHAnsi"/>
        </w:rPr>
      </w:pPr>
    </w:p>
    <w:p w14:paraId="51DB828D" w14:textId="77777777" w:rsidR="00A205DD" w:rsidRPr="00A205DD" w:rsidRDefault="00A205DD" w:rsidP="00A205DD">
      <w:pPr>
        <w:spacing w:after="0" w:line="240" w:lineRule="auto"/>
        <w:rPr>
          <w:rFonts w:eastAsia="Times New Roman" w:cstheme="minorHAnsi"/>
          <w:b/>
          <w:bCs/>
        </w:rPr>
      </w:pPr>
      <w:r w:rsidRPr="00A205DD">
        <w:rPr>
          <w:rFonts w:eastAsia="Times New Roman" w:cstheme="minorHAnsi"/>
          <w:b/>
          <w:bCs/>
        </w:rPr>
        <w:t>Applicant:</w:t>
      </w:r>
      <w:r w:rsidRPr="00A205DD">
        <w:rPr>
          <w:rFonts w:eastAsia="Times New Roman" w:cstheme="minorHAnsi"/>
          <w:b/>
          <w:bCs/>
        </w:rPr>
        <w:tab/>
        <w:t>Minneapolis Public Housing Authority (</w:t>
      </w:r>
      <w:hyperlink r:id="rId16" w:history="1">
        <w:r w:rsidRPr="00A205DD">
          <w:rPr>
            <w:rStyle w:val="Hyperlink"/>
            <w:rFonts w:eastAsia="Times New Roman" w:cstheme="minorHAnsi"/>
            <w:b/>
            <w:bCs/>
          </w:rPr>
          <w:t>crichard@mplspha.org</w:t>
        </w:r>
      </w:hyperlink>
      <w:r w:rsidRPr="00A205DD">
        <w:rPr>
          <w:rFonts w:eastAsia="Times New Roman" w:cstheme="minorHAnsi"/>
          <w:b/>
          <w:bCs/>
        </w:rPr>
        <w:t>)</w:t>
      </w:r>
    </w:p>
    <w:p w14:paraId="6D2C4F52" w14:textId="77777777" w:rsidR="00A205DD" w:rsidRPr="00A205DD" w:rsidRDefault="00A205DD" w:rsidP="00A205DD">
      <w:pPr>
        <w:spacing w:after="0" w:line="240" w:lineRule="auto"/>
        <w:rPr>
          <w:rFonts w:eastAsia="Times New Roman" w:cstheme="minorHAnsi"/>
          <w:b/>
          <w:bCs/>
        </w:rPr>
      </w:pPr>
      <w:r w:rsidRPr="00A205DD">
        <w:rPr>
          <w:rFonts w:eastAsia="Times New Roman" w:cstheme="minorHAnsi"/>
          <w:b/>
          <w:bCs/>
        </w:rPr>
        <w:t>Project:</w:t>
      </w:r>
      <w:r w:rsidRPr="00A205DD">
        <w:rPr>
          <w:rFonts w:eastAsia="Times New Roman" w:cstheme="minorHAnsi"/>
          <w:b/>
          <w:bCs/>
        </w:rPr>
        <w:tab/>
        <w:t>Snelling Manor, 3755 Snelling Avenue, Minneapolis</w:t>
      </w:r>
    </w:p>
    <w:p w14:paraId="57EBFB1E" w14:textId="77777777" w:rsidR="00A205DD" w:rsidRPr="00A205DD" w:rsidRDefault="00A205DD" w:rsidP="00A205DD">
      <w:pPr>
        <w:spacing w:after="0" w:line="240" w:lineRule="auto"/>
        <w:ind w:left="1440" w:hanging="1440"/>
        <w:rPr>
          <w:rFonts w:eastAsia="Times New Roman" w:cstheme="minorHAnsi"/>
          <w:b/>
          <w:bCs/>
        </w:rPr>
      </w:pPr>
      <w:r w:rsidRPr="00A205DD">
        <w:rPr>
          <w:rFonts w:eastAsia="Times New Roman" w:cstheme="minorHAnsi"/>
          <w:b/>
          <w:bCs/>
        </w:rPr>
        <w:t>Parcel ID #s:</w:t>
      </w:r>
      <w:r w:rsidRPr="00A205DD">
        <w:rPr>
          <w:rFonts w:eastAsia="Times New Roman" w:cstheme="minorHAnsi"/>
          <w:b/>
          <w:bCs/>
        </w:rPr>
        <w:tab/>
        <w:t>0602823330146 (.58 acre)</w:t>
      </w:r>
    </w:p>
    <w:p w14:paraId="130D9155" w14:textId="77777777" w:rsidR="00A205DD" w:rsidRPr="00A205DD" w:rsidRDefault="00A205DD" w:rsidP="00A205DD">
      <w:pPr>
        <w:spacing w:after="0" w:line="240" w:lineRule="auto"/>
        <w:rPr>
          <w:rFonts w:eastAsia="Times New Roman" w:cstheme="minorHAnsi"/>
          <w:b/>
          <w:bCs/>
        </w:rPr>
      </w:pPr>
      <w:r w:rsidRPr="00A205DD">
        <w:rPr>
          <w:rFonts w:eastAsia="Times New Roman" w:cstheme="minorHAnsi"/>
          <w:b/>
          <w:bCs/>
        </w:rPr>
        <w:t>Consultant:</w:t>
      </w:r>
      <w:r w:rsidRPr="00A205DD">
        <w:rPr>
          <w:rFonts w:eastAsia="Times New Roman" w:cstheme="minorHAnsi"/>
          <w:b/>
          <w:bCs/>
        </w:rPr>
        <w:tab/>
        <w:t>The Javelin Group (</w:t>
      </w:r>
      <w:hyperlink r:id="rId17" w:history="1">
        <w:r w:rsidRPr="00A205DD">
          <w:rPr>
            <w:rStyle w:val="Hyperlink"/>
            <w:rFonts w:eastAsia="Times New Roman" w:cstheme="minorHAnsi"/>
            <w:b/>
            <w:bCs/>
          </w:rPr>
          <w:t>gbrowne@thejavelingroupinc.com</w:t>
        </w:r>
      </w:hyperlink>
      <w:r w:rsidRPr="00A205DD">
        <w:rPr>
          <w:rFonts w:eastAsia="Times New Roman" w:cstheme="minorHAnsi"/>
          <w:b/>
          <w:bCs/>
        </w:rPr>
        <w:t>)</w:t>
      </w:r>
    </w:p>
    <w:p w14:paraId="0A8D1EC8" w14:textId="77777777" w:rsidR="00A205DD" w:rsidRPr="00A205DD" w:rsidRDefault="00A205DD" w:rsidP="00A205DD">
      <w:pPr>
        <w:spacing w:after="0" w:line="240" w:lineRule="auto"/>
        <w:rPr>
          <w:rFonts w:eastAsia="Times New Roman" w:cstheme="minorHAnsi"/>
          <w:b/>
          <w:bCs/>
        </w:rPr>
      </w:pPr>
      <w:r w:rsidRPr="00A205DD">
        <w:rPr>
          <w:rFonts w:eastAsia="Times New Roman" w:cstheme="minorHAnsi"/>
          <w:b/>
          <w:bCs/>
        </w:rPr>
        <w:t>Grant Round:</w:t>
      </w:r>
      <w:r w:rsidRPr="00A205DD">
        <w:rPr>
          <w:rFonts w:eastAsia="Times New Roman" w:cstheme="minorHAnsi"/>
          <w:b/>
          <w:bCs/>
        </w:rPr>
        <w:tab/>
        <w:t>FY 25 PR000007633</w:t>
      </w:r>
    </w:p>
    <w:p w14:paraId="62E29B45" w14:textId="77777777" w:rsidR="00A205DD" w:rsidRPr="00A205DD" w:rsidRDefault="00A205DD" w:rsidP="00A205DD">
      <w:pPr>
        <w:spacing w:after="0" w:line="240" w:lineRule="auto"/>
        <w:rPr>
          <w:rFonts w:eastAsia="Times New Roman" w:cstheme="minorHAnsi"/>
          <w:b/>
          <w:bCs/>
        </w:rPr>
      </w:pPr>
    </w:p>
    <w:p w14:paraId="2A6BA43F" w14:textId="28503853" w:rsidR="00A205DD" w:rsidRDefault="00A205DD" w:rsidP="00A205DD">
      <w:pPr>
        <w:pStyle w:val="NormalWeb"/>
        <w:shd w:val="clear" w:color="auto" w:fill="FFFFFF"/>
        <w:spacing w:after="300"/>
        <w:rPr>
          <w:rFonts w:asciiTheme="minorHAnsi" w:hAnsiTheme="minorHAnsi" w:cstheme="minorHAnsi"/>
        </w:rPr>
      </w:pPr>
      <w:r>
        <w:rPr>
          <w:rFonts w:asciiTheme="minorHAnsi" w:hAnsiTheme="minorHAnsi" w:cstheme="minorHAnsi"/>
        </w:rPr>
        <w:t>T</w:t>
      </w:r>
      <w:r w:rsidRPr="00B22BCC">
        <w:rPr>
          <w:rFonts w:asciiTheme="minorHAnsi" w:hAnsiTheme="minorHAnsi" w:cstheme="minorHAnsi"/>
        </w:rPr>
        <w:t>his request</w:t>
      </w:r>
      <w:r>
        <w:rPr>
          <w:rFonts w:asciiTheme="minorHAnsi" w:hAnsiTheme="minorHAnsi" w:cstheme="minorHAnsi"/>
        </w:rPr>
        <w:t xml:space="preserve"> is</w:t>
      </w:r>
      <w:r w:rsidRPr="00B22BCC">
        <w:rPr>
          <w:rFonts w:asciiTheme="minorHAnsi" w:hAnsiTheme="minorHAnsi" w:cstheme="minorHAnsi"/>
        </w:rPr>
        <w:t xml:space="preserve"> from</w:t>
      </w:r>
      <w:r>
        <w:rPr>
          <w:rFonts w:asciiTheme="minorHAnsi" w:hAnsiTheme="minorHAnsi" w:cstheme="minorHAnsi"/>
        </w:rPr>
        <w:t xml:space="preserve"> the Minneapolis Public Housing Authority (“MPHA”) for its Snelling Manor project (“Project”) located at 3755 Snelling Avenue (“Site”).  MPHA’s mission is to promote and deliver quality, well-managed homes to a diverse low-income population and, with partners, contribute to the well-being of individuals, families, and community.  This is accomplished through its three primary programs: Public Housing, Deeply Affordable Family Housing, and Housing Choice Vouchers (Section 8).  More than 26,000 people benefit from these programs.  </w:t>
      </w:r>
    </w:p>
    <w:p w14:paraId="7E88DA3A" w14:textId="77777777" w:rsidR="00A205DD" w:rsidRDefault="00A205DD" w:rsidP="00A205DD">
      <w:pPr>
        <w:pStyle w:val="NormalWeb"/>
        <w:shd w:val="clear" w:color="auto" w:fill="FFFFFF"/>
        <w:spacing w:after="300"/>
        <w:rPr>
          <w:rFonts w:asciiTheme="minorHAnsi" w:hAnsiTheme="minorHAnsi" w:cstheme="minorHAnsi"/>
        </w:rPr>
      </w:pPr>
      <w:r>
        <w:rPr>
          <w:rFonts w:asciiTheme="minorHAnsi" w:hAnsiTheme="minorHAnsi" w:cstheme="minorHAnsi"/>
        </w:rPr>
        <w:t xml:space="preserve">Snelling Manor is a five-story mid-rise with 28 apartments/29 residents that was built in 1966 and is included within MPHA’s Public Housing portfolio of 5,000 housing units.  The Project is a Rental Assistance Demonstration (RAD) conversion of the building that will convert the subsidy from public housing to project-based Section 8 vouchers, thereby allowing MPHA to obtain new funding sources for the extensive renovation of Snelling Manor.  The scope of work has not been finalized but will likely include replacement of/upgrades to existing building systems, </w:t>
      </w:r>
      <w:proofErr w:type="spellStart"/>
      <w:r>
        <w:rPr>
          <w:rFonts w:asciiTheme="minorHAnsi" w:hAnsiTheme="minorHAnsi" w:cstheme="minorHAnsi"/>
        </w:rPr>
        <w:t>exteriorfaçade</w:t>
      </w:r>
      <w:proofErr w:type="spellEnd"/>
      <w:r>
        <w:rPr>
          <w:rFonts w:asciiTheme="minorHAnsi" w:hAnsiTheme="minorHAnsi" w:cstheme="minorHAnsi"/>
        </w:rPr>
        <w:t>, windows, and roof.  Unit improvements may include new flooring, kitchens, bathrooms, finishes, and storage.  Enhanced indoor and outdoor community spaces, resident amenities, and security improvements will be incorporated.  MPHA is also exploring opportunities to add new accessible units to the existing footprint to accommodate the needs of current residents as well as its portfolio and waitlist.  MPHA has recent success in RAD conversions with renovations at other properties.</w:t>
      </w:r>
    </w:p>
    <w:p w14:paraId="6328DF00" w14:textId="77777777" w:rsidR="00A205DD" w:rsidRDefault="00A205DD" w:rsidP="00A205DD">
      <w:pPr>
        <w:pStyle w:val="NormalWeb"/>
        <w:shd w:val="clear" w:color="auto" w:fill="FFFFFF"/>
        <w:spacing w:after="300"/>
        <w:rPr>
          <w:rFonts w:asciiTheme="minorHAnsi" w:hAnsiTheme="minorHAnsi" w:cstheme="minorHAnsi"/>
        </w:rPr>
      </w:pPr>
      <w:r>
        <w:rPr>
          <w:rFonts w:asciiTheme="minorHAnsi" w:hAnsiTheme="minorHAnsi" w:cstheme="minorHAnsi"/>
        </w:rPr>
        <w:t xml:space="preserve">The Javelin Group recently completed a Phase I ESA (dated 10/15/25) that identified two RECS: an on-site fuel oil UST and the historic industrial use of the adjoining property.  The latter has a long history of industrial operations including auto garage/maintenance shop, machine shop, printers, battery business, and an air compressor repair shop.  Previous reports indicated low levels of VOCs, DROs, and RCRA metals in the soil.  An additional business environmental risk is the likelihood of demolition debris/urban fill at the Site, and asbestos-containing building </w:t>
      </w:r>
      <w:r>
        <w:rPr>
          <w:rFonts w:asciiTheme="minorHAnsi" w:hAnsiTheme="minorHAnsi" w:cstheme="minorHAnsi"/>
        </w:rPr>
        <w:lastRenderedPageBreak/>
        <w:t>materials and lead throughout the building.   Of note is that the Site is located within EPA Radon Zone 1.</w:t>
      </w:r>
    </w:p>
    <w:p w14:paraId="013A1D59" w14:textId="46BD324F" w:rsidR="00A205DD" w:rsidRDefault="00A205DD" w:rsidP="00A205DD">
      <w:pPr>
        <w:pStyle w:val="NormalWeb"/>
        <w:shd w:val="clear" w:color="auto" w:fill="FFFFFF"/>
        <w:spacing w:after="300"/>
        <w:rPr>
          <w:rFonts w:asciiTheme="minorHAnsi" w:hAnsiTheme="minorHAnsi" w:cstheme="minorHAnsi"/>
        </w:rPr>
      </w:pPr>
      <w:r>
        <w:rPr>
          <w:rFonts w:asciiTheme="minorHAnsi" w:hAnsiTheme="minorHAnsi" w:cstheme="minorHAnsi"/>
        </w:rPr>
        <w:t xml:space="preserve">Based upon this information, MPHA is requesting BGFP funding to complete a winter season vapor intrusion assessment, prepare a MPCA Brownfield Program application, conduct a pre-renovation asbestos building survey, a combination lead-based paint inspection/risk assessment, and a RAP/CCP.  </w:t>
      </w:r>
    </w:p>
    <w:p w14:paraId="2E5026F6" w14:textId="77777777" w:rsidR="00DA1D8A" w:rsidRDefault="00DA1D8A" w:rsidP="00A205DD">
      <w:pPr>
        <w:pStyle w:val="NormalWeb"/>
        <w:shd w:val="clear" w:color="auto" w:fill="FFFFFF"/>
        <w:spacing w:after="300"/>
        <w:rPr>
          <w:rFonts w:asciiTheme="minorHAnsi" w:hAnsiTheme="minorHAnsi" w:cstheme="minorHAnsi"/>
        </w:rPr>
      </w:pPr>
    </w:p>
    <w:p w14:paraId="324F289B" w14:textId="77777777" w:rsidR="00DA1D8A" w:rsidRPr="00DA1D8A" w:rsidRDefault="00DA1D8A" w:rsidP="00DA1D8A">
      <w:pPr>
        <w:spacing w:after="0" w:line="240" w:lineRule="auto"/>
        <w:rPr>
          <w:rFonts w:eastAsia="Times New Roman" w:cstheme="minorHAnsi"/>
          <w:b/>
          <w:bCs/>
        </w:rPr>
      </w:pPr>
      <w:r w:rsidRPr="00DA1D8A">
        <w:rPr>
          <w:rFonts w:eastAsia="Times New Roman" w:cstheme="minorHAnsi"/>
          <w:b/>
          <w:bCs/>
        </w:rPr>
        <w:t>Applicant:</w:t>
      </w:r>
      <w:r w:rsidRPr="00DA1D8A">
        <w:rPr>
          <w:rFonts w:eastAsia="Times New Roman" w:cstheme="minorHAnsi"/>
          <w:b/>
          <w:bCs/>
        </w:rPr>
        <w:tab/>
      </w:r>
      <w:proofErr w:type="spellStart"/>
      <w:r w:rsidRPr="00DA1D8A">
        <w:rPr>
          <w:rFonts w:eastAsia="Times New Roman" w:cstheme="minorHAnsi"/>
          <w:b/>
          <w:bCs/>
        </w:rPr>
        <w:t>InnerCity</w:t>
      </w:r>
      <w:proofErr w:type="spellEnd"/>
      <w:r w:rsidRPr="00DA1D8A">
        <w:rPr>
          <w:rFonts w:eastAsia="Times New Roman" w:cstheme="minorHAnsi"/>
          <w:b/>
          <w:bCs/>
        </w:rPr>
        <w:t xml:space="preserve"> Tennis Foundation (john.wheaton@innercitytennis.org)</w:t>
      </w:r>
    </w:p>
    <w:p w14:paraId="21D59854" w14:textId="77777777" w:rsidR="00DA1D8A" w:rsidRPr="00DA1D8A" w:rsidRDefault="00DA1D8A" w:rsidP="00DA1D8A">
      <w:pPr>
        <w:spacing w:after="0" w:line="240" w:lineRule="auto"/>
        <w:rPr>
          <w:rFonts w:eastAsia="Times New Roman" w:cstheme="minorHAnsi"/>
          <w:b/>
          <w:bCs/>
        </w:rPr>
      </w:pPr>
      <w:r w:rsidRPr="00DA1D8A">
        <w:rPr>
          <w:rFonts w:eastAsia="Times New Roman" w:cstheme="minorHAnsi"/>
          <w:b/>
          <w:bCs/>
        </w:rPr>
        <w:t>Project:</w:t>
      </w:r>
      <w:r w:rsidRPr="00DA1D8A">
        <w:rPr>
          <w:rFonts w:eastAsia="Times New Roman" w:cstheme="minorHAnsi"/>
          <w:b/>
          <w:bCs/>
        </w:rPr>
        <w:tab/>
      </w:r>
      <w:proofErr w:type="spellStart"/>
      <w:r w:rsidRPr="00DA1D8A">
        <w:rPr>
          <w:rFonts w:eastAsia="Times New Roman" w:cstheme="minorHAnsi"/>
          <w:b/>
          <w:bCs/>
        </w:rPr>
        <w:t>InnerCity</w:t>
      </w:r>
      <w:proofErr w:type="spellEnd"/>
      <w:r w:rsidRPr="00DA1D8A">
        <w:rPr>
          <w:rFonts w:eastAsia="Times New Roman" w:cstheme="minorHAnsi"/>
          <w:b/>
          <w:bCs/>
        </w:rPr>
        <w:t xml:space="preserve"> Tennis North, 155 Irving Avenue North, Minneapolis</w:t>
      </w:r>
    </w:p>
    <w:p w14:paraId="1A419613" w14:textId="77777777" w:rsidR="00DA1D8A" w:rsidRPr="00DA1D8A" w:rsidRDefault="00DA1D8A" w:rsidP="00DA1D8A">
      <w:pPr>
        <w:spacing w:after="0" w:line="240" w:lineRule="auto"/>
        <w:ind w:left="1440" w:hanging="1440"/>
        <w:rPr>
          <w:rFonts w:eastAsia="Times New Roman" w:cstheme="minorHAnsi"/>
          <w:b/>
          <w:bCs/>
        </w:rPr>
      </w:pPr>
      <w:r w:rsidRPr="00DA1D8A">
        <w:rPr>
          <w:rFonts w:eastAsia="Times New Roman" w:cstheme="minorHAnsi"/>
          <w:b/>
          <w:bCs/>
        </w:rPr>
        <w:t>Parcel ID #s:</w:t>
      </w:r>
      <w:r w:rsidRPr="00DA1D8A">
        <w:rPr>
          <w:rFonts w:eastAsia="Times New Roman" w:cstheme="minorHAnsi"/>
          <w:b/>
          <w:bCs/>
        </w:rPr>
        <w:tab/>
        <w:t>2802924210005 (4.22 acres)</w:t>
      </w:r>
    </w:p>
    <w:p w14:paraId="61271C49" w14:textId="77777777" w:rsidR="00DA1D8A" w:rsidRPr="00DA1D8A" w:rsidRDefault="00DA1D8A" w:rsidP="00DA1D8A">
      <w:pPr>
        <w:spacing w:after="0" w:line="240" w:lineRule="auto"/>
        <w:rPr>
          <w:rFonts w:eastAsia="Times New Roman" w:cstheme="minorHAnsi"/>
          <w:b/>
          <w:bCs/>
        </w:rPr>
      </w:pPr>
      <w:r w:rsidRPr="00DA1D8A">
        <w:rPr>
          <w:rFonts w:eastAsia="Times New Roman" w:cstheme="minorHAnsi"/>
          <w:b/>
          <w:bCs/>
        </w:rPr>
        <w:t>Consultant:</w:t>
      </w:r>
      <w:r w:rsidRPr="00DA1D8A">
        <w:rPr>
          <w:rFonts w:eastAsia="Times New Roman" w:cstheme="minorHAnsi"/>
          <w:b/>
          <w:bCs/>
        </w:rPr>
        <w:tab/>
        <w:t>Stantec (</w:t>
      </w:r>
      <w:hyperlink r:id="rId18" w:history="1">
        <w:r w:rsidRPr="00DA1D8A">
          <w:rPr>
            <w:rStyle w:val="Hyperlink"/>
            <w:rFonts w:eastAsia="Times New Roman" w:cstheme="minorHAnsi"/>
            <w:b/>
            <w:bCs/>
          </w:rPr>
          <w:t>eric.stommes@stantec.com</w:t>
        </w:r>
      </w:hyperlink>
      <w:r w:rsidRPr="00DA1D8A">
        <w:rPr>
          <w:rFonts w:eastAsia="Times New Roman" w:cstheme="minorHAnsi"/>
          <w:b/>
          <w:bCs/>
        </w:rPr>
        <w:t>)</w:t>
      </w:r>
    </w:p>
    <w:p w14:paraId="3474FE01" w14:textId="77777777" w:rsidR="00DA1D8A" w:rsidRPr="00DA1D8A" w:rsidRDefault="00DA1D8A" w:rsidP="00DA1D8A">
      <w:pPr>
        <w:spacing w:after="0" w:line="240" w:lineRule="auto"/>
        <w:rPr>
          <w:rFonts w:eastAsia="Times New Roman" w:cstheme="minorHAnsi"/>
          <w:b/>
          <w:bCs/>
        </w:rPr>
      </w:pPr>
      <w:r w:rsidRPr="00DA1D8A">
        <w:rPr>
          <w:rFonts w:eastAsia="Times New Roman" w:cstheme="minorHAnsi"/>
          <w:b/>
          <w:bCs/>
        </w:rPr>
        <w:t>Request:</w:t>
      </w:r>
      <w:r w:rsidRPr="00DA1D8A">
        <w:rPr>
          <w:rFonts w:eastAsia="Times New Roman" w:cstheme="minorHAnsi"/>
          <w:b/>
          <w:bCs/>
        </w:rPr>
        <w:tab/>
        <w:t>$24,932.75</w:t>
      </w:r>
    </w:p>
    <w:p w14:paraId="07412BE8" w14:textId="77777777" w:rsidR="00DA1D8A" w:rsidRPr="00DA1D8A" w:rsidRDefault="00DA1D8A" w:rsidP="00DA1D8A">
      <w:pPr>
        <w:spacing w:after="0" w:line="240" w:lineRule="auto"/>
        <w:rPr>
          <w:rFonts w:eastAsia="Times New Roman" w:cstheme="minorHAnsi"/>
          <w:b/>
          <w:bCs/>
        </w:rPr>
      </w:pPr>
      <w:r w:rsidRPr="00DA1D8A">
        <w:rPr>
          <w:rFonts w:eastAsia="Times New Roman" w:cstheme="minorHAnsi"/>
          <w:b/>
          <w:bCs/>
        </w:rPr>
        <w:t>Grant Round:</w:t>
      </w:r>
      <w:r w:rsidRPr="00DA1D8A">
        <w:rPr>
          <w:rFonts w:eastAsia="Times New Roman" w:cstheme="minorHAnsi"/>
          <w:b/>
          <w:bCs/>
        </w:rPr>
        <w:tab/>
        <w:t>FY 25 PR000007633</w:t>
      </w:r>
    </w:p>
    <w:p w14:paraId="6A3E17F4" w14:textId="77777777" w:rsidR="00DA1D8A" w:rsidRPr="00534290" w:rsidRDefault="00DA1D8A" w:rsidP="00DA1D8A">
      <w:pPr>
        <w:spacing w:after="0" w:line="240" w:lineRule="auto"/>
        <w:rPr>
          <w:rFonts w:eastAsia="Times New Roman" w:cstheme="minorHAnsi"/>
        </w:rPr>
      </w:pPr>
    </w:p>
    <w:p w14:paraId="6B29E014" w14:textId="7F50E875" w:rsidR="00DA1D8A" w:rsidRDefault="00DA1D8A" w:rsidP="00DA1D8A">
      <w:pPr>
        <w:pStyle w:val="NormalWeb"/>
        <w:shd w:val="clear" w:color="auto" w:fill="FFFFFF"/>
        <w:spacing w:after="300"/>
        <w:rPr>
          <w:rFonts w:asciiTheme="minorHAnsi" w:hAnsiTheme="minorHAnsi" w:cstheme="minorHAnsi"/>
        </w:rPr>
      </w:pPr>
      <w:r>
        <w:rPr>
          <w:rFonts w:asciiTheme="minorHAnsi" w:hAnsiTheme="minorHAnsi" w:cstheme="minorHAnsi"/>
        </w:rPr>
        <w:t>T</w:t>
      </w:r>
      <w:r w:rsidRPr="00B22BCC">
        <w:rPr>
          <w:rFonts w:asciiTheme="minorHAnsi" w:hAnsiTheme="minorHAnsi" w:cstheme="minorHAnsi"/>
        </w:rPr>
        <w:t>his request</w:t>
      </w:r>
      <w:r>
        <w:rPr>
          <w:rFonts w:asciiTheme="minorHAnsi" w:hAnsiTheme="minorHAnsi" w:cstheme="minorHAnsi"/>
        </w:rPr>
        <w:t xml:space="preserve"> is</w:t>
      </w:r>
      <w:r w:rsidRPr="00B22BCC">
        <w:rPr>
          <w:rFonts w:asciiTheme="minorHAnsi" w:hAnsiTheme="minorHAnsi" w:cstheme="minorHAnsi"/>
        </w:rPr>
        <w:t xml:space="preserve"> from</w:t>
      </w:r>
      <w:r>
        <w:rPr>
          <w:rFonts w:asciiTheme="minorHAnsi" w:hAnsiTheme="minorHAnsi" w:cstheme="minorHAnsi"/>
        </w:rPr>
        <w:t xml:space="preserve"> the </w:t>
      </w:r>
      <w:proofErr w:type="spellStart"/>
      <w:r>
        <w:rPr>
          <w:rFonts w:asciiTheme="minorHAnsi" w:hAnsiTheme="minorHAnsi" w:cstheme="minorHAnsi"/>
        </w:rPr>
        <w:t>InnerCity</w:t>
      </w:r>
      <w:proofErr w:type="spellEnd"/>
      <w:r>
        <w:rPr>
          <w:rFonts w:asciiTheme="minorHAnsi" w:hAnsiTheme="minorHAnsi" w:cstheme="minorHAnsi"/>
        </w:rPr>
        <w:t xml:space="preserve"> Tennis Foundation (“ICT”) for its </w:t>
      </w:r>
      <w:proofErr w:type="spellStart"/>
      <w:r>
        <w:rPr>
          <w:rFonts w:asciiTheme="minorHAnsi" w:hAnsiTheme="minorHAnsi" w:cstheme="minorHAnsi"/>
        </w:rPr>
        <w:t>InnerCity</w:t>
      </w:r>
      <w:proofErr w:type="spellEnd"/>
      <w:r>
        <w:rPr>
          <w:rFonts w:asciiTheme="minorHAnsi" w:hAnsiTheme="minorHAnsi" w:cstheme="minorHAnsi"/>
        </w:rPr>
        <w:t xml:space="preserve"> Tennis North project (“Project”) located at 155 Irving Avenue North, Minneapolis (“Site”).  ICT’s mission is </w:t>
      </w:r>
      <w:proofErr w:type="gramStart"/>
      <w:r>
        <w:rPr>
          <w:rFonts w:asciiTheme="minorHAnsi" w:hAnsiTheme="minorHAnsi" w:cstheme="minorHAnsi"/>
          <w:i/>
          <w:iCs/>
        </w:rPr>
        <w:t>To</w:t>
      </w:r>
      <w:proofErr w:type="gramEnd"/>
      <w:r>
        <w:rPr>
          <w:rFonts w:asciiTheme="minorHAnsi" w:hAnsiTheme="minorHAnsi" w:cstheme="minorHAnsi"/>
          <w:i/>
          <w:iCs/>
        </w:rPr>
        <w:t xml:space="preserve"> develop and unleash the potential of youth on and off the tennis court by engaging and serving a supportive community.  </w:t>
      </w:r>
      <w:r>
        <w:rPr>
          <w:rFonts w:asciiTheme="minorHAnsi" w:hAnsiTheme="minorHAnsi" w:cstheme="minorHAnsi"/>
        </w:rPr>
        <w:t>ICT partners with the Minneapolis Public Schools and Park/Rec Board to provide tennis and multi-sport programming at their schools and parks and also provides year-round youth tennis classes.  Its history dates back to 1952 when a group of civic leaders founded the Northwest Tennis Patrons (now ICT Foundation).  It is estimated that over the past seven decades, more than 95,000 children have participated in ICT programs.</w:t>
      </w:r>
    </w:p>
    <w:p w14:paraId="40864372" w14:textId="77777777" w:rsidR="00DA1D8A" w:rsidRDefault="00DA1D8A" w:rsidP="00DA1D8A">
      <w:pPr>
        <w:pStyle w:val="NormalWeb"/>
        <w:shd w:val="clear" w:color="auto" w:fill="FFFFFF"/>
        <w:spacing w:after="300"/>
        <w:rPr>
          <w:rFonts w:asciiTheme="minorHAnsi" w:hAnsiTheme="minorHAnsi" w:cstheme="minorHAnsi"/>
        </w:rPr>
      </w:pPr>
      <w:r>
        <w:rPr>
          <w:rFonts w:asciiTheme="minorHAnsi" w:hAnsiTheme="minorHAnsi" w:cstheme="minorHAnsi"/>
        </w:rPr>
        <w:t>ICT is headquartered at its Reed Sweatt Family Tennis Center at 40</w:t>
      </w:r>
      <w:r w:rsidRPr="003670A9">
        <w:rPr>
          <w:rFonts w:asciiTheme="minorHAnsi" w:hAnsiTheme="minorHAnsi" w:cstheme="minorHAnsi"/>
          <w:vertAlign w:val="superscript"/>
        </w:rPr>
        <w:t>th</w:t>
      </w:r>
      <w:r>
        <w:rPr>
          <w:rFonts w:asciiTheme="minorHAnsi" w:hAnsiTheme="minorHAnsi" w:cstheme="minorHAnsi"/>
        </w:rPr>
        <w:t xml:space="preserve"> and Nicollet in South Minneapolis.  North Minneapolis is a target area for ICT’s expansion and is the location for a second facility at 155 Irving Avenue North.  The vision is to build a new community athletic and wellness center; the Site has an industrial past with known contamination.  </w:t>
      </w:r>
    </w:p>
    <w:p w14:paraId="79D640B5" w14:textId="77777777" w:rsidR="00DA1D8A" w:rsidRDefault="00DA1D8A" w:rsidP="00DA1D8A">
      <w:pPr>
        <w:pStyle w:val="NormalWeb"/>
        <w:shd w:val="clear" w:color="auto" w:fill="FFFFFF"/>
        <w:spacing w:after="300"/>
        <w:rPr>
          <w:rFonts w:asciiTheme="minorHAnsi" w:hAnsiTheme="minorHAnsi" w:cstheme="minorHAnsi"/>
        </w:rPr>
      </w:pPr>
      <w:r>
        <w:rPr>
          <w:rFonts w:asciiTheme="minorHAnsi" w:hAnsiTheme="minorHAnsi" w:cstheme="minorHAnsi"/>
        </w:rPr>
        <w:t xml:space="preserve">The Site is improved with an approximate 27,000 SF (footprint) office, shredding, and distribution building; an approximate 430-SF salt sheds; and paved areas.  Bassett Creek runs east-west along the southern Site boundary.  The Site is currently occupied by Pioneer Paper Stock, which operates as a facility that processes used paper products into bales for distribution to recycling facilities.  According to a Phase I ESA prepared for the current owner by Terracon  (January 2024), the Site is listed in the SPILLS, Financial Assurance, Facility Index Systems  (FINDS), Permitted Solid Waste Disposal Facilities (SWF/LF,) Underground Storage Tanks (UST), </w:t>
      </w:r>
      <w:r>
        <w:rPr>
          <w:rFonts w:asciiTheme="minorHAnsi" w:hAnsiTheme="minorHAnsi" w:cstheme="minorHAnsi"/>
        </w:rPr>
        <w:lastRenderedPageBreak/>
        <w:t>Voluntary Investigation and Cleanup (VIC), BROWNFIELDS, Recycling Facilities (SWRCY), Site Remediation Section (SRS), National Pollutant Discharge Elimination System (NPDES), TIER 2, and What’s In My Neighborhood (WIMN) databases.  RECS were identified in association with all of these.  Subsequently, Stantec prepared a Supplemental Investigation Report in July 2024 and The Javelin Group conducted a Limited Site Investigation in October 2024.  Results of these investigations found DRO, VOC, PAH, and RCRA metals exceedances in the urban fill; PFAS was detected in the groundwater, likely due to fire-fighting foam used in a 2021 fire.</w:t>
      </w:r>
    </w:p>
    <w:p w14:paraId="3E392BB9" w14:textId="331D47EB" w:rsidR="00DA1D8A" w:rsidRDefault="00DA1D8A" w:rsidP="00DA1D8A">
      <w:pPr>
        <w:pStyle w:val="NormalWeb"/>
        <w:shd w:val="clear" w:color="auto" w:fill="FFFFFF"/>
        <w:spacing w:after="300"/>
      </w:pPr>
      <w:r>
        <w:rPr>
          <w:rFonts w:asciiTheme="minorHAnsi" w:hAnsiTheme="minorHAnsi" w:cstheme="minorHAnsi"/>
        </w:rPr>
        <w:t xml:space="preserve">Based upon these results and ICT’s desire to redevelop the Site, ongoing environmental work includes a heating season vapor sampling, a pre-demolition destructive hazardous materials survey, and an updated Phase I ESA.  ICT is requesting BGFP funding to complete this work in the amount of $24,932.75 based upon a Stantec proposal dated November 5, 2025.  </w:t>
      </w:r>
    </w:p>
    <w:p w14:paraId="32139524" w14:textId="77777777" w:rsidR="00A847B0" w:rsidRDefault="00A847B0"/>
    <w:sectPr w:rsidR="00A847B0">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FB4B7" w14:textId="77777777" w:rsidR="0079668F" w:rsidRDefault="0079668F" w:rsidP="00B319E8">
      <w:pPr>
        <w:spacing w:after="0" w:line="240" w:lineRule="auto"/>
      </w:pPr>
      <w:r>
        <w:separator/>
      </w:r>
    </w:p>
  </w:endnote>
  <w:endnote w:type="continuationSeparator" w:id="0">
    <w:p w14:paraId="2C396210" w14:textId="77777777" w:rsidR="0079668F" w:rsidRDefault="0079668F" w:rsidP="00B31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BB4B" w14:textId="77777777" w:rsidR="00B319E8" w:rsidRDefault="00B31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16F9" w14:textId="77777777" w:rsidR="00B319E8" w:rsidRDefault="00B319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3892" w14:textId="77777777" w:rsidR="00B319E8" w:rsidRDefault="00B31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0283A" w14:textId="77777777" w:rsidR="0079668F" w:rsidRDefault="0079668F" w:rsidP="00B319E8">
      <w:pPr>
        <w:spacing w:after="0" w:line="240" w:lineRule="auto"/>
      </w:pPr>
      <w:r>
        <w:separator/>
      </w:r>
    </w:p>
  </w:footnote>
  <w:footnote w:type="continuationSeparator" w:id="0">
    <w:p w14:paraId="18CF4D81" w14:textId="77777777" w:rsidR="0079668F" w:rsidRDefault="0079668F" w:rsidP="00B31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AB2B" w14:textId="77777777" w:rsidR="00B319E8" w:rsidRDefault="00B319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3AF9A" w14:textId="0C6F0253" w:rsidR="00B319E8" w:rsidRDefault="00B319E8">
    <w:pPr>
      <w:pStyle w:val="Header"/>
    </w:pPr>
    <w:r>
      <w:rPr>
        <w:noProof/>
      </w:rPr>
      <w:drawing>
        <wp:inline distT="0" distB="0" distL="0" distR="0" wp14:anchorId="19B8CFFE" wp14:editId="621012B2">
          <wp:extent cx="2384474" cy="678267"/>
          <wp:effectExtent l="0" t="0" r="0" b="762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4915" cy="689770"/>
                  </a:xfrm>
                  <a:prstGeom prst="rect">
                    <a:avLst/>
                  </a:prstGeom>
                  <a:noFill/>
                  <a:ln>
                    <a:noFill/>
                  </a:ln>
                </pic:spPr>
              </pic:pic>
            </a:graphicData>
          </a:graphic>
        </wp:inline>
      </w:drawing>
    </w:r>
  </w:p>
  <w:p w14:paraId="78F3661E" w14:textId="77777777" w:rsidR="00B319E8" w:rsidRDefault="00B319E8" w:rsidP="00B319E8">
    <w:pPr>
      <w:pStyle w:val="Header"/>
    </w:pPr>
    <w:r>
      <w:t>Brownfield Gap Financing Program 2024 Grant Round Summary</w:t>
    </w:r>
  </w:p>
  <w:p w14:paraId="2CA17A98" w14:textId="3B9CA963" w:rsidR="00B319E8" w:rsidRPr="008C5C6A" w:rsidRDefault="00B319E8" w:rsidP="00B319E8">
    <w:pPr>
      <w:pStyle w:val="Header"/>
    </w:pPr>
    <w:r>
      <w:t>November 1, 2025-</w:t>
    </w:r>
  </w:p>
  <w:p w14:paraId="28636677" w14:textId="77777777" w:rsidR="00B319E8" w:rsidRDefault="00B319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C6A6" w14:textId="77777777" w:rsidR="00B319E8" w:rsidRDefault="00B31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7B01C7"/>
    <w:multiLevelType w:val="hybridMultilevel"/>
    <w:tmpl w:val="AA040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64582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9E8"/>
    <w:rsid w:val="001750CB"/>
    <w:rsid w:val="001E6978"/>
    <w:rsid w:val="001F2A76"/>
    <w:rsid w:val="002260A6"/>
    <w:rsid w:val="003632BD"/>
    <w:rsid w:val="004B559A"/>
    <w:rsid w:val="004E182A"/>
    <w:rsid w:val="005F2548"/>
    <w:rsid w:val="006562E5"/>
    <w:rsid w:val="007205F4"/>
    <w:rsid w:val="0079668F"/>
    <w:rsid w:val="009E1ABB"/>
    <w:rsid w:val="00A205DD"/>
    <w:rsid w:val="00A617D0"/>
    <w:rsid w:val="00A847B0"/>
    <w:rsid w:val="00B224E8"/>
    <w:rsid w:val="00B319E8"/>
    <w:rsid w:val="00B55DBE"/>
    <w:rsid w:val="00B85DDA"/>
    <w:rsid w:val="00C334DE"/>
    <w:rsid w:val="00C73F65"/>
    <w:rsid w:val="00CA4890"/>
    <w:rsid w:val="00CA7C0F"/>
    <w:rsid w:val="00DA1D8A"/>
    <w:rsid w:val="00E076A4"/>
    <w:rsid w:val="00E32188"/>
    <w:rsid w:val="00E50262"/>
    <w:rsid w:val="00FB2166"/>
    <w:rsid w:val="00FB5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D1F9"/>
  <w15:chartTrackingRefBased/>
  <w15:docId w15:val="{B88202A7-AAC4-4B4A-9C62-7D1317B42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9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319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19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19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19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19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9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9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9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9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319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19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19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19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19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9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9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9E8"/>
    <w:rPr>
      <w:rFonts w:eastAsiaTheme="majorEastAsia" w:cstheme="majorBidi"/>
      <w:color w:val="272727" w:themeColor="text1" w:themeTint="D8"/>
    </w:rPr>
  </w:style>
  <w:style w:type="paragraph" w:styleId="Title">
    <w:name w:val="Title"/>
    <w:basedOn w:val="Normal"/>
    <w:next w:val="Normal"/>
    <w:link w:val="TitleChar"/>
    <w:uiPriority w:val="10"/>
    <w:qFormat/>
    <w:rsid w:val="00B31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9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9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9E8"/>
    <w:pPr>
      <w:spacing w:before="160"/>
      <w:jc w:val="center"/>
    </w:pPr>
    <w:rPr>
      <w:i/>
      <w:iCs/>
      <w:color w:val="404040" w:themeColor="text1" w:themeTint="BF"/>
    </w:rPr>
  </w:style>
  <w:style w:type="character" w:customStyle="1" w:styleId="QuoteChar">
    <w:name w:val="Quote Char"/>
    <w:basedOn w:val="DefaultParagraphFont"/>
    <w:link w:val="Quote"/>
    <w:uiPriority w:val="29"/>
    <w:rsid w:val="00B319E8"/>
    <w:rPr>
      <w:i/>
      <w:iCs/>
      <w:color w:val="404040" w:themeColor="text1" w:themeTint="BF"/>
    </w:rPr>
  </w:style>
  <w:style w:type="paragraph" w:styleId="ListParagraph">
    <w:name w:val="List Paragraph"/>
    <w:basedOn w:val="Normal"/>
    <w:uiPriority w:val="34"/>
    <w:qFormat/>
    <w:rsid w:val="00B319E8"/>
    <w:pPr>
      <w:ind w:left="720"/>
      <w:contextualSpacing/>
    </w:pPr>
  </w:style>
  <w:style w:type="character" w:styleId="IntenseEmphasis">
    <w:name w:val="Intense Emphasis"/>
    <w:basedOn w:val="DefaultParagraphFont"/>
    <w:uiPriority w:val="21"/>
    <w:qFormat/>
    <w:rsid w:val="00B319E8"/>
    <w:rPr>
      <w:i/>
      <w:iCs/>
      <w:color w:val="2F5496" w:themeColor="accent1" w:themeShade="BF"/>
    </w:rPr>
  </w:style>
  <w:style w:type="paragraph" w:styleId="IntenseQuote">
    <w:name w:val="Intense Quote"/>
    <w:basedOn w:val="Normal"/>
    <w:next w:val="Normal"/>
    <w:link w:val="IntenseQuoteChar"/>
    <w:uiPriority w:val="30"/>
    <w:qFormat/>
    <w:rsid w:val="00B319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19E8"/>
    <w:rPr>
      <w:i/>
      <w:iCs/>
      <w:color w:val="2F5496" w:themeColor="accent1" w:themeShade="BF"/>
    </w:rPr>
  </w:style>
  <w:style w:type="character" w:styleId="IntenseReference">
    <w:name w:val="Intense Reference"/>
    <w:basedOn w:val="DefaultParagraphFont"/>
    <w:uiPriority w:val="32"/>
    <w:qFormat/>
    <w:rsid w:val="00B319E8"/>
    <w:rPr>
      <w:b/>
      <w:bCs/>
      <w:smallCaps/>
      <w:color w:val="2F5496" w:themeColor="accent1" w:themeShade="BF"/>
      <w:spacing w:val="5"/>
    </w:rPr>
  </w:style>
  <w:style w:type="character" w:styleId="Hyperlink">
    <w:name w:val="Hyperlink"/>
    <w:basedOn w:val="DefaultParagraphFont"/>
    <w:uiPriority w:val="99"/>
    <w:unhideWhenUsed/>
    <w:rsid w:val="00B319E8"/>
    <w:rPr>
      <w:color w:val="0563C1" w:themeColor="hyperlink"/>
      <w:u w:val="single"/>
    </w:rPr>
  </w:style>
  <w:style w:type="character" w:styleId="UnresolvedMention">
    <w:name w:val="Unresolved Mention"/>
    <w:basedOn w:val="DefaultParagraphFont"/>
    <w:uiPriority w:val="99"/>
    <w:semiHidden/>
    <w:unhideWhenUsed/>
    <w:rsid w:val="00B319E8"/>
    <w:rPr>
      <w:color w:val="605E5C"/>
      <w:shd w:val="clear" w:color="auto" w:fill="E1DFDD"/>
    </w:rPr>
  </w:style>
  <w:style w:type="paragraph" w:styleId="NoSpacing">
    <w:name w:val="No Spacing"/>
    <w:uiPriority w:val="1"/>
    <w:qFormat/>
    <w:rsid w:val="00B319E8"/>
    <w:pPr>
      <w:spacing w:after="0" w:line="240" w:lineRule="auto"/>
    </w:pPr>
  </w:style>
  <w:style w:type="paragraph" w:styleId="Header">
    <w:name w:val="header"/>
    <w:basedOn w:val="Normal"/>
    <w:link w:val="HeaderChar"/>
    <w:uiPriority w:val="99"/>
    <w:unhideWhenUsed/>
    <w:rsid w:val="00B31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9E8"/>
  </w:style>
  <w:style w:type="paragraph" w:styleId="Footer">
    <w:name w:val="footer"/>
    <w:basedOn w:val="Normal"/>
    <w:link w:val="FooterChar"/>
    <w:uiPriority w:val="99"/>
    <w:unhideWhenUsed/>
    <w:rsid w:val="00B31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9E8"/>
  </w:style>
  <w:style w:type="paragraph" w:styleId="NormalWeb">
    <w:name w:val="Normal (Web)"/>
    <w:basedOn w:val="Normal"/>
    <w:uiPriority w:val="99"/>
    <w:unhideWhenUsed/>
    <w:rsid w:val="00E32188"/>
    <w:pPr>
      <w:spacing w:line="256"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ddiebell@kmojfm.com" TargetMode="External"/><Relationship Id="rId13" Type="http://schemas.openxmlformats.org/officeDocument/2006/relationships/hyperlink" Target="mailto:celling@landmarkenv.com" TargetMode="External"/><Relationship Id="rId18" Type="http://schemas.openxmlformats.org/officeDocument/2006/relationships/hyperlink" Target="mailto:eric.stommes@stantec.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info@mplsdistro.com" TargetMode="External"/><Relationship Id="rId12" Type="http://schemas.openxmlformats.org/officeDocument/2006/relationships/hyperlink" Target="mailto:chris@elementmn.com" TargetMode="External"/><Relationship Id="rId17" Type="http://schemas.openxmlformats.org/officeDocument/2006/relationships/hyperlink" Target="mailto:gbrowne@thejavelingroupinc.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richard@mplspha.org"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ilsonsimage@gmail.co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gbrowne@thejavelingroupinc.com" TargetMode="External"/><Relationship Id="rId23" Type="http://schemas.openxmlformats.org/officeDocument/2006/relationships/header" Target="header3.xml"/><Relationship Id="rId10" Type="http://schemas.openxmlformats.org/officeDocument/2006/relationships/hyperlink" Target="mailto:celling@landmarkenv.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risten@elementmn.com" TargetMode="External"/><Relationship Id="rId14" Type="http://schemas.openxmlformats.org/officeDocument/2006/relationships/hyperlink" Target="mailto:crichard@mplspha.org"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2682</Words>
  <Characters>15293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Kluesner</dc:creator>
  <cp:keywords/>
  <dc:description/>
  <cp:lastModifiedBy>Elizabeth Kluesner</cp:lastModifiedBy>
  <cp:revision>11</cp:revision>
  <dcterms:created xsi:type="dcterms:W3CDTF">2025-10-30T14:47:00Z</dcterms:created>
  <dcterms:modified xsi:type="dcterms:W3CDTF">2025-12-15T16:12:00Z</dcterms:modified>
</cp:coreProperties>
</file>